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2">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3">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4">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5">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6">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7">
      <w:pPr>
        <w:spacing w:after="0" w:lineRule="auto"/>
        <w:jc w:val="center"/>
        <w:rPr>
          <w:rFonts w:ascii="Times" w:cs="Times" w:eastAsia="Times" w:hAnsi="Times"/>
          <w:sz w:val="24"/>
          <w:szCs w:val="24"/>
          <w:vertAlign w:val="baseline"/>
        </w:rPr>
      </w:pPr>
      <w:r w:rsidDel="00000000" w:rsidR="00000000" w:rsidRPr="00000000">
        <w:rPr>
          <w:rFonts w:ascii="Times" w:cs="Times" w:eastAsia="Times" w:hAnsi="Times"/>
          <w:sz w:val="24"/>
          <w:szCs w:val="24"/>
          <w:rtl w:val="0"/>
        </w:rPr>
        <w:t xml:space="preserve">Opportunities and Challenges of the Oman-US FTA in Oman’s Renewable Energy Sector</w:t>
      </w:r>
      <w:r w:rsidDel="00000000" w:rsidR="00000000" w:rsidRPr="00000000">
        <w:rPr>
          <w:rtl w:val="0"/>
        </w:rPr>
      </w:r>
    </w:p>
    <w:p w:rsidR="00000000" w:rsidDel="00000000" w:rsidP="00000000" w:rsidRDefault="00000000" w:rsidRPr="00000000" w14:paraId="00000008">
      <w:pPr>
        <w:spacing w:after="0" w:lineRule="auto"/>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9">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A">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B">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C">
      <w:pPr>
        <w:spacing w:after="0" w:lineRule="auto"/>
        <w:jc w:val="center"/>
        <w:rPr>
          <w:rFonts w:ascii="Times" w:cs="Times" w:eastAsia="Times" w:hAnsi="Times"/>
          <w:sz w:val="24"/>
          <w:szCs w:val="24"/>
          <w:vertAlign w:val="baseline"/>
        </w:rPr>
      </w:pPr>
      <w:r w:rsidDel="00000000" w:rsidR="00000000" w:rsidRPr="00000000">
        <w:rPr>
          <w:rFonts w:ascii="Times" w:cs="Times" w:eastAsia="Times" w:hAnsi="Times"/>
          <w:sz w:val="24"/>
          <w:szCs w:val="24"/>
          <w:rtl w:val="0"/>
        </w:rPr>
        <w:t xml:space="preserve">Haifa H Albelaihid</w:t>
      </w:r>
      <w:r w:rsidDel="00000000" w:rsidR="00000000" w:rsidRPr="00000000">
        <w:rPr>
          <w:rtl w:val="0"/>
        </w:rPr>
      </w:r>
    </w:p>
    <w:p w:rsidR="00000000" w:rsidDel="00000000" w:rsidP="00000000" w:rsidRDefault="00000000" w:rsidRPr="00000000" w14:paraId="0000000D">
      <w:pPr>
        <w:spacing w:after="0" w:lineRule="auto"/>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E">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F">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0">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1">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2">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3">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4">
      <w:pPr>
        <w:jc w:val="center"/>
        <w:rPr>
          <w:rFonts w:ascii="Times" w:cs="Times" w:eastAsia="Times" w:hAnsi="Times"/>
          <w:sz w:val="24"/>
          <w:szCs w:val="24"/>
          <w:vertAlign w:val="baseline"/>
        </w:rPr>
      </w:pPr>
      <w:r w:rsidDel="00000000" w:rsidR="00000000" w:rsidRPr="00000000">
        <w:rPr>
          <w:rFonts w:ascii="Times" w:cs="Times" w:eastAsia="Times" w:hAnsi="Times"/>
          <w:sz w:val="24"/>
          <w:szCs w:val="24"/>
          <w:rtl w:val="0"/>
        </w:rPr>
        <w:t xml:space="preserve">Gulf Research Meeting </w:t>
      </w:r>
      <w:r w:rsidDel="00000000" w:rsidR="00000000" w:rsidRPr="00000000">
        <w:rPr>
          <w:rtl w:val="0"/>
        </w:rPr>
      </w:r>
    </w:p>
    <w:p w:rsidR="00000000" w:rsidDel="00000000" w:rsidP="00000000" w:rsidRDefault="00000000" w:rsidRPr="00000000" w14:paraId="00000015">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6">
      <w:pPr>
        <w:spacing w:after="0" w:lineRule="auto"/>
        <w:jc w:val="center"/>
        <w:rPr>
          <w:rFonts w:ascii="Times" w:cs="Times" w:eastAsia="Times" w:hAnsi="Times"/>
          <w:sz w:val="24"/>
          <w:szCs w:val="24"/>
          <w:vertAlign w:val="baseline"/>
        </w:rPr>
      </w:pPr>
      <w:r w:rsidDel="00000000" w:rsidR="00000000" w:rsidRPr="00000000">
        <w:rPr>
          <w:rFonts w:ascii="Times" w:cs="Times" w:eastAsia="Times" w:hAnsi="Times"/>
          <w:sz w:val="24"/>
          <w:szCs w:val="24"/>
          <w:rtl w:val="0"/>
        </w:rPr>
        <w:t xml:space="preserve">July, 2024</w:t>
      </w:r>
      <w:r w:rsidDel="00000000" w:rsidR="00000000" w:rsidRPr="00000000">
        <w:rPr>
          <w:rtl w:val="0"/>
        </w:rPr>
      </w:r>
    </w:p>
    <w:p w:rsidR="00000000" w:rsidDel="00000000" w:rsidP="00000000" w:rsidRDefault="00000000" w:rsidRPr="00000000" w14:paraId="00000017">
      <w:pPr>
        <w:spacing w:after="0" w:lineRule="auto"/>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8">
      <w:pPr>
        <w:spacing w:after="0" w:lineRule="auto"/>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9">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A">
      <w:pPr>
        <w:spacing w:after="0" w:line="480" w:lineRule="auto"/>
        <w:ind w:firstLine="720"/>
        <w:rPr>
          <w:rFonts w:ascii="Times" w:cs="Times" w:eastAsia="Times" w:hAnsi="Times"/>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Title"/>
        <w:spacing w:after="0" w:line="480" w:lineRule="auto"/>
        <w:rPr>
          <w:rFonts w:ascii="Times New Roman" w:cs="Times New Roman" w:eastAsia="Times New Roman" w:hAnsi="Times New Roman"/>
          <w:sz w:val="24"/>
          <w:szCs w:val="24"/>
        </w:rPr>
      </w:pPr>
      <w:bookmarkStart w:colFirst="0" w:colLast="0" w:name="_heading=h.8y0r8yl7bpt7" w:id="0"/>
      <w:bookmarkEnd w:id="0"/>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1C">
      <w:pPr>
        <w:spacing w:after="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As part of its strategic vision to embrace the global energy transition, Oman is enhancing its energy infrastructure and policies to incorporate a higher share of renewables in its energy mix. This initiative reflects the nation’s aspirations to achieve energy sustainability and economic resilience. Oman has outlined substantial but challenging goals to enhance its use of renewable energy, aiming for 30% of its electricity to be sourced from renewables by 2030. This plan involves significant solar and wind energy investments, capitalizing on Oman’s geographical suitability for these resources. The country also aspires to be a significant player in the green hydrogen market, with ambitions to produce at least 1 million tons of renewable hydrogen annually by 2030, aiming to leverage its renewable energy assets to position itself as a competitive low-emissions hydrogen supplier globally.</w:t>
      </w:r>
    </w:p>
    <w:p w:rsidR="00000000" w:rsidDel="00000000" w:rsidP="00000000" w:rsidRDefault="00000000" w:rsidRPr="00000000" w14:paraId="0000001D">
      <w:pPr>
        <w:spacing w:after="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Oman has declared a target to reach net zero emissions by 2050, which will involve a variety of projects aimed at reducing carbon emissions across different sectors. These include energy efficiency initiatives, the adoption of advanced monitoring technologies, and an emphasis on carbon capture, utilization, and storage (CCUS) technologies. To facilitate its energy transition plan, Oman anticipates investing over $190 billion by 2050. This funding is expected to support a range of activities, from developing renewable energy projects and improving energy efficiency to establishing new industries like green hydrogen production. The Omani government is currently finalizing its National Energy Transition Policy, which is intended to provide a structured pathway for the nation’s shift towards a sustainable, clean-energy future, although the ambitious scope of this policy and the scale of required investment highlight the significant challenges ahead.</w:t>
      </w:r>
    </w:p>
    <w:p w:rsidR="00000000" w:rsidDel="00000000" w:rsidP="00000000" w:rsidRDefault="00000000" w:rsidRPr="00000000" w14:paraId="0000001E">
      <w:pPr>
        <w:spacing w:after="0"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F">
      <w:pPr>
        <w:pStyle w:val="Title"/>
        <w:spacing w:after="0" w:line="480" w:lineRule="auto"/>
        <w:rPr>
          <w:rFonts w:ascii="Times New Roman" w:cs="Times New Roman" w:eastAsia="Times New Roman" w:hAnsi="Times New Roman"/>
          <w:sz w:val="24"/>
          <w:szCs w:val="24"/>
        </w:rPr>
      </w:pPr>
      <w:bookmarkStart w:colFirst="0" w:colLast="0" w:name="_heading=h.l6800th6wfnz" w:id="1"/>
      <w:bookmarkEnd w:id="1"/>
      <w:r w:rsidDel="00000000" w:rsidR="00000000" w:rsidRPr="00000000">
        <w:rPr>
          <w:rFonts w:ascii="Times New Roman" w:cs="Times New Roman" w:eastAsia="Times New Roman" w:hAnsi="Times New Roman"/>
          <w:sz w:val="24"/>
          <w:szCs w:val="24"/>
          <w:rtl w:val="0"/>
        </w:rPr>
        <w:t xml:space="preserve">Oman’s Energy Landscape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Title"/>
        <w:spacing w:after="0" w:line="480" w:lineRule="auto"/>
        <w:rPr>
          <w:rFonts w:ascii="Times New Roman" w:cs="Times New Roman" w:eastAsia="Times New Roman" w:hAnsi="Times New Roman"/>
          <w:sz w:val="24"/>
          <w:szCs w:val="24"/>
        </w:rPr>
      </w:pPr>
      <w:bookmarkStart w:colFirst="0" w:colLast="0" w:name="_heading=h.vqqxey3tobdk" w:id="2"/>
      <w:bookmarkEnd w:id="2"/>
      <w:r w:rsidDel="00000000" w:rsidR="00000000" w:rsidRPr="00000000">
        <w:rPr>
          <w:rFonts w:ascii="Times New Roman" w:cs="Times New Roman" w:eastAsia="Times New Roman" w:hAnsi="Times New Roman"/>
          <w:sz w:val="24"/>
          <w:szCs w:val="24"/>
          <w:rtl w:val="0"/>
        </w:rPr>
        <w:t xml:space="preserve">Overview of the Oman-US FTA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Title"/>
        <w:spacing w:after="0" w:line="480" w:lineRule="auto"/>
        <w:rPr>
          <w:rFonts w:ascii="Times New Roman" w:cs="Times New Roman" w:eastAsia="Times New Roman" w:hAnsi="Times New Roman"/>
          <w:sz w:val="24"/>
          <w:szCs w:val="24"/>
        </w:rPr>
      </w:pPr>
      <w:bookmarkStart w:colFirst="0" w:colLast="0" w:name="_heading=h.9q6g47ql70kq" w:id="3"/>
      <w:bookmarkEnd w:id="3"/>
      <w:r w:rsidDel="00000000" w:rsidR="00000000" w:rsidRPr="00000000">
        <w:rPr>
          <w:rFonts w:ascii="Times New Roman" w:cs="Times New Roman" w:eastAsia="Times New Roman" w:hAnsi="Times New Roman"/>
          <w:sz w:val="24"/>
          <w:szCs w:val="24"/>
          <w:rtl w:val="0"/>
        </w:rPr>
        <w:t xml:space="preserve">Opportunities Presented by the FTA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Title"/>
        <w:spacing w:after="0" w:line="480" w:lineRule="auto"/>
        <w:rPr>
          <w:rFonts w:ascii="Times New Roman" w:cs="Times New Roman" w:eastAsia="Times New Roman" w:hAnsi="Times New Roman"/>
          <w:sz w:val="24"/>
          <w:szCs w:val="24"/>
        </w:rPr>
      </w:pPr>
      <w:bookmarkStart w:colFirst="0" w:colLast="0" w:name="_heading=h.yip614h398bf" w:id="4"/>
      <w:bookmarkEnd w:id="4"/>
      <w:r w:rsidDel="00000000" w:rsidR="00000000" w:rsidRPr="00000000">
        <w:rPr>
          <w:rFonts w:ascii="Times New Roman" w:cs="Times New Roman" w:eastAsia="Times New Roman" w:hAnsi="Times New Roman"/>
          <w:sz w:val="24"/>
          <w:szCs w:val="24"/>
          <w:rtl w:val="0"/>
        </w:rPr>
        <w:t xml:space="preserve">Challenges in the Context of the FTA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Title"/>
        <w:spacing w:after="0" w:line="480" w:lineRule="auto"/>
        <w:rPr>
          <w:rFonts w:ascii="Times New Roman" w:cs="Times New Roman" w:eastAsia="Times New Roman" w:hAnsi="Times New Roman"/>
          <w:sz w:val="24"/>
          <w:szCs w:val="24"/>
        </w:rPr>
      </w:pPr>
      <w:bookmarkStart w:colFirst="0" w:colLast="0" w:name="_heading=h.u6uf8bdajj7o" w:id="5"/>
      <w:bookmarkEnd w:id="5"/>
      <w:r w:rsidDel="00000000" w:rsidR="00000000" w:rsidRPr="00000000">
        <w:rPr>
          <w:rFonts w:ascii="Times New Roman" w:cs="Times New Roman" w:eastAsia="Times New Roman" w:hAnsi="Times New Roman"/>
          <w:sz w:val="24"/>
          <w:szCs w:val="24"/>
          <w:rtl w:val="0"/>
        </w:rPr>
        <w:t xml:space="preserve">Case Studies and Examples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Title"/>
        <w:spacing w:after="0" w:line="480" w:lineRule="auto"/>
        <w:rPr>
          <w:rFonts w:ascii="Times New Roman" w:cs="Times New Roman" w:eastAsia="Times New Roman" w:hAnsi="Times New Roman"/>
          <w:sz w:val="24"/>
          <w:szCs w:val="24"/>
        </w:rPr>
      </w:pPr>
      <w:bookmarkStart w:colFirst="0" w:colLast="0" w:name="_heading=h.zg8vnyb2udh" w:id="6"/>
      <w:bookmarkEnd w:id="6"/>
      <w:r w:rsidDel="00000000" w:rsidR="00000000" w:rsidRPr="00000000">
        <w:rPr>
          <w:rFonts w:ascii="Times New Roman" w:cs="Times New Roman" w:eastAsia="Times New Roman" w:hAnsi="Times New Roman"/>
          <w:sz w:val="24"/>
          <w:szCs w:val="24"/>
          <w:rtl w:val="0"/>
        </w:rPr>
        <w:t xml:space="preserve">Conclusion and Recommendations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Title"/>
        <w:spacing w:after="0" w:line="480" w:lineRule="auto"/>
        <w:rPr>
          <w:rFonts w:ascii="Times New Roman" w:cs="Times New Roman" w:eastAsia="Times New Roman" w:hAnsi="Times New Roman"/>
          <w:sz w:val="24"/>
          <w:szCs w:val="24"/>
        </w:rPr>
      </w:pPr>
      <w:bookmarkStart w:colFirst="0" w:colLast="0" w:name="_heading=h.grp78ndoee9p" w:id="7"/>
      <w:bookmarkEnd w:id="7"/>
      <w:r w:rsidDel="00000000" w:rsidR="00000000" w:rsidRPr="00000000">
        <w:rPr>
          <w:rFonts w:ascii="Times New Roman" w:cs="Times New Roman" w:eastAsia="Times New Roman" w:hAnsi="Times New Roman"/>
          <w:sz w:val="24"/>
          <w:szCs w:val="24"/>
          <w:rtl w:val="0"/>
        </w:rPr>
        <w:t xml:space="preserve">Recommendations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Title"/>
        <w:spacing w:after="0" w:line="480" w:lineRule="auto"/>
        <w:rPr/>
      </w:pPr>
      <w:bookmarkStart w:colFirst="0" w:colLast="0" w:name="_heading=h.z05wx78qe7g2" w:id="8"/>
      <w:bookmarkEnd w:id="8"/>
      <w:r w:rsidDel="00000000" w:rsidR="00000000" w:rsidRPr="00000000">
        <w:rPr>
          <w:rFonts w:ascii="Times New Roman" w:cs="Times New Roman" w:eastAsia="Times New Roman" w:hAnsi="Times New Roman"/>
          <w:sz w:val="24"/>
          <w:szCs w:val="24"/>
          <w:rtl w:val="0"/>
        </w:rPr>
        <w:t xml:space="preserve">References and Bibliography</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7"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Albelaihid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EndnoteText">
    <w:name w:val="Endnote Text"/>
    <w:basedOn w:val="Normal"/>
    <w:next w:val="EndnoteText"/>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EndnoteTextChar">
    <w:name w:val="Endnote Text Char"/>
    <w:next w:val="EndnoteTextChar"/>
    <w:autoRedefine w:val="0"/>
    <w:hidden w:val="0"/>
    <w:qFormat w:val="0"/>
    <w:rPr>
      <w:w w:val="100"/>
      <w:position w:val="-1"/>
      <w:sz w:val="20"/>
      <w:szCs w:val="20"/>
      <w:effect w:val="none"/>
      <w:vertAlign w:val="baseline"/>
      <w:cs w:val="0"/>
      <w:em w:val="none"/>
      <w:lang/>
    </w:rPr>
  </w:style>
  <w:style w:type="character" w:styleId="EndnoteReference">
    <w:name w:val="Endnote Reference"/>
    <w:next w:val="EndnoteReference"/>
    <w:autoRedefine w:val="0"/>
    <w:hidden w:val="0"/>
    <w:qFormat w:val="1"/>
    <w:rPr>
      <w:w w:val="100"/>
      <w:position w:val="-1"/>
      <w:effect w:val="none"/>
      <w:vertAlign w:val="superscript"/>
      <w:cs w:val="0"/>
      <w:em w:val="none"/>
      <w:lang/>
    </w:rPr>
  </w:style>
  <w:style w:type="paragraph" w:styleId="FootnoteText">
    <w:name w:val="Footnote Text"/>
    <w:basedOn w:val="Normal"/>
    <w:next w:val="FootnoteText"/>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w w:val="100"/>
      <w:position w:val="-1"/>
      <w:sz w:val="20"/>
      <w:szCs w:val="20"/>
      <w:effect w:val="none"/>
      <w:vertAlign w:val="baseline"/>
      <w:cs w:val="0"/>
      <w:em w:val="none"/>
      <w:lang/>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4vSGip5DTctEdJAYi2CB34LA==">CgMxLjAyDmguOHkwcjh5bDdicHQ3Mg5oLmw2ODAwdGg2d2ZuejIOaC52cXF4ZXkzdG9iZGsyDmguOXE2ZzQ3cWw3MGtxMg5oLnlpcDYxNGgzOThiZjIOaC51NnVmOGJkYWpqN28yDWguemc4dm55YjJ1ZGgyDmguZ3JwNzhuZG9lZTlwMg5oLnowNXd4NzhxZTdnMjgAciExa0lLTGlSZmktRl9Ld2dNa3RZbl9VemtPRzA4NU9JZkE=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2013-10-22T19:29:00Z</dcterms:created>
  <dc:creator>Wood, Princess</dc:creator>
</cp:coreProperties>
</file>