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D4F3D" w14:textId="77777777" w:rsidR="00B72F38" w:rsidRDefault="00B72F38" w:rsidP="00B72F38">
      <w:r>
        <w:t>Sustainable Islamic financial engineering framework with special reference to green transformation of GCC economies</w:t>
      </w:r>
    </w:p>
    <w:p w14:paraId="3BD0718E" w14:textId="77777777" w:rsidR="00B72F38" w:rsidRDefault="00B72F38" w:rsidP="00B72F38">
      <w:pPr>
        <w:jc w:val="center"/>
      </w:pPr>
      <w:r>
        <w:t>Tariqullahkhan@inceif.org</w:t>
      </w:r>
    </w:p>
    <w:p w14:paraId="2E9BF2FF" w14:textId="77777777" w:rsidR="00B72F38" w:rsidRDefault="00B72F38" w:rsidP="00B72F38">
      <w:pPr>
        <w:jc w:val="center"/>
      </w:pPr>
      <w:r>
        <w:t>ABSTRACT</w:t>
      </w:r>
    </w:p>
    <w:p w14:paraId="595AA9AA" w14:textId="77777777" w:rsidR="00B72F38" w:rsidRDefault="00B72F38" w:rsidP="00B72F38">
      <w:r>
        <w:t>All GCC countries are high in the human development Index (HDI), but their combined average ecological footprint is equivalent to 5.5 earths. Furthermore, GCC countries have extremely high stock of foreign exchange reserves, however, they also face serious biocapacity deficit as GCC countries Earth Overshoot days will fall in the first quarter of 2023. Maintaining elevated levels of HDI is imperative, reducing their ecological footprint to the level of one earth capacity and improving on biocapacity is a highly challenging urgency.</w:t>
      </w:r>
    </w:p>
    <w:p w14:paraId="56A613A2" w14:textId="77777777" w:rsidR="00B72F38" w:rsidRDefault="00B72F38" w:rsidP="00B72F38">
      <w:r>
        <w:t>Therefore, all GCC countries are introducing some form of green economic transformation (GET) initiatives. It this paper we define GET as achieving high HDI within the ecological capacity of one earth.</w:t>
      </w:r>
    </w:p>
    <w:p w14:paraId="4BB32444" w14:textId="77777777" w:rsidR="00B72F38" w:rsidRDefault="00B72F38" w:rsidP="00B72F38">
      <w:r>
        <w:t xml:space="preserve">Islamic economic values such as mankind as trustee of Allah on earth, </w:t>
      </w:r>
      <w:proofErr w:type="spellStart"/>
      <w:r>
        <w:t>meezan</w:t>
      </w:r>
      <w:proofErr w:type="spellEnd"/>
      <w:r>
        <w:t xml:space="preserve"> (the universal/cosmic balance), al </w:t>
      </w:r>
      <w:proofErr w:type="spellStart"/>
      <w:r>
        <w:t>adel</w:t>
      </w:r>
      <w:proofErr w:type="spellEnd"/>
      <w:r>
        <w:t xml:space="preserve"> </w:t>
      </w:r>
      <w:proofErr w:type="spellStart"/>
      <w:r>
        <w:t>wal</w:t>
      </w:r>
      <w:proofErr w:type="spellEnd"/>
      <w:r>
        <w:t xml:space="preserve"> </w:t>
      </w:r>
      <w:proofErr w:type="spellStart"/>
      <w:r>
        <w:t>ihsan</w:t>
      </w:r>
      <w:proofErr w:type="spellEnd"/>
      <w:r>
        <w:t xml:space="preserve">, </w:t>
      </w:r>
      <w:proofErr w:type="spellStart"/>
      <w:r>
        <w:t>wasatiya</w:t>
      </w:r>
      <w:proofErr w:type="spellEnd"/>
      <w:r>
        <w:t xml:space="preserve">, abolition of waste, </w:t>
      </w:r>
      <w:proofErr w:type="spellStart"/>
      <w:r>
        <w:t>Riba</w:t>
      </w:r>
      <w:proofErr w:type="spellEnd"/>
      <w:r>
        <w:t xml:space="preserve"> and </w:t>
      </w:r>
      <w:proofErr w:type="spellStart"/>
      <w:r>
        <w:t>fasad</w:t>
      </w:r>
      <w:proofErr w:type="spellEnd"/>
      <w:r>
        <w:t xml:space="preserve"> etc., are at the </w:t>
      </w:r>
      <w:proofErr w:type="spellStart"/>
      <w:r>
        <w:t>center</w:t>
      </w:r>
      <w:proofErr w:type="spellEnd"/>
      <w:r>
        <w:t xml:space="preserve"> of the civilization of Muslim societies. According to the IFSB, the Islamic financial services are systemically important in all GCC countries and are growing faster than any other region or jurisdiction of the world.</w:t>
      </w:r>
    </w:p>
    <w:p w14:paraId="6B938807" w14:textId="77777777" w:rsidR="00B72F38" w:rsidRDefault="00B72F38" w:rsidP="00B72F38">
      <w:r>
        <w:t>How Islamic finance can interact with the GET process in the GCC and what role it could play in enhancing and strengthening the process? To create a synergy between Islamic finance and the GET process in the GCC countries, in this paper we revisit the purpose of Islamic business enterprise, the Islamic financial contracts and the bifurcated institutional systems of commercial and social finance. We suggest the financial contracts follow a sustainability pathway, and the dichotomous institutional system to integrate, blend and become unified to achieve a shared purpose.</w:t>
      </w:r>
    </w:p>
    <w:p w14:paraId="5CB472E1" w14:textId="77777777" w:rsidR="00B72F38" w:rsidRDefault="00B72F38" w:rsidP="00B72F38">
      <w:r>
        <w:t>The paper comprises of the following sections. After introduction, section two discusses a new framework for resource balance of GCC countries. There is in fact a serious imbalance between abundant natural (oil and gas) and manmade resources (foreign exchange reserves) on one hand and serious biocapacity deficit and excessively high ecological footprints on the other hand. In the same section we also define the GET and present the challenges and opportunities of the expected unprecedented transformation.</w:t>
      </w:r>
    </w:p>
    <w:p w14:paraId="73B61695" w14:textId="77777777" w:rsidR="00B72F38" w:rsidRDefault="00B72F38" w:rsidP="00B72F38">
      <w:r>
        <w:t>In section three we revisit Islamic financial contracts and highlight the missing dimensions of sustainability pathways in these contracts. We present some examples of Islamic financial contracts with integrated sustainability pathways.</w:t>
      </w:r>
    </w:p>
    <w:p w14:paraId="663508DD" w14:textId="77777777" w:rsidR="00B72F38" w:rsidRDefault="00B72F38" w:rsidP="00B72F38">
      <w:r>
        <w:t xml:space="preserve">In section four we set criteria for business transformation and suggest a framework for insetting and offsetting strategies for ensuring the practical application of the sustainability pathways in the financial contracts. We discuss how the existing degenerative businesses can be transformed into restorative, sustainable and ideally regenerative. A business is degenerative if in the </w:t>
      </w:r>
      <w:proofErr w:type="spellStart"/>
      <w:r>
        <w:t>Maqasid</w:t>
      </w:r>
      <w:proofErr w:type="spellEnd"/>
      <w:r>
        <w:t xml:space="preserve"> framework the </w:t>
      </w:r>
      <w:proofErr w:type="spellStart"/>
      <w:r>
        <w:t>mafasid</w:t>
      </w:r>
      <w:proofErr w:type="spellEnd"/>
      <w:r>
        <w:t xml:space="preserve"> (negative externalities) of the business exceed its </w:t>
      </w:r>
      <w:proofErr w:type="spellStart"/>
      <w:r>
        <w:t>masalih</w:t>
      </w:r>
      <w:proofErr w:type="spellEnd"/>
      <w:r>
        <w:t xml:space="preserve"> (its positive externalities). A business is regenerative if its </w:t>
      </w:r>
      <w:proofErr w:type="spellStart"/>
      <w:r>
        <w:t>masalih</w:t>
      </w:r>
      <w:proofErr w:type="spellEnd"/>
      <w:r>
        <w:t xml:space="preserve"> exceeds its </w:t>
      </w:r>
      <w:proofErr w:type="spellStart"/>
      <w:r>
        <w:t>mafasid</w:t>
      </w:r>
      <w:proofErr w:type="spellEnd"/>
      <w:r>
        <w:t>.</w:t>
      </w:r>
    </w:p>
    <w:p w14:paraId="309AE9B2" w14:textId="77777777" w:rsidR="00B72F38" w:rsidRDefault="00B72F38" w:rsidP="00B72F38">
      <w:r>
        <w:t xml:space="preserve">In section five we present and discuss sustainable Islamic financial engineering framework with the shared purpose of promoting regenerative businesses. At the core of the framework is the </w:t>
      </w:r>
      <w:r>
        <w:lastRenderedPageBreak/>
        <w:t>integrating and blending commercial, impact and philanthropic finance for achieving the shared purpose for progressive implementation of the GET.</w:t>
      </w:r>
    </w:p>
    <w:p w14:paraId="56D68DB9" w14:textId="35C09D21" w:rsidR="00D9747A" w:rsidRDefault="00B72F38" w:rsidP="00B72F38">
      <w:r>
        <w:t>Finally, we present and discuss conclusions and recommendations.</w:t>
      </w:r>
    </w:p>
    <w:sectPr w:rsidR="00D97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38"/>
    <w:rsid w:val="00B72F38"/>
    <w:rsid w:val="00D9747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F203"/>
  <w15:chartTrackingRefBased/>
  <w15:docId w15:val="{032BFEB4-01A3-419A-ACEC-F0838A6E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Tariqullah Khan</dc:creator>
  <cp:keywords/>
  <dc:description/>
  <cp:lastModifiedBy>Prof. Dr. Tariqullah Khan</cp:lastModifiedBy>
  <cp:revision>1</cp:revision>
  <dcterms:created xsi:type="dcterms:W3CDTF">2023-02-20T02:32:00Z</dcterms:created>
  <dcterms:modified xsi:type="dcterms:W3CDTF">2023-02-20T02:33:00Z</dcterms:modified>
</cp:coreProperties>
</file>