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92330" w14:textId="77777777" w:rsidR="00D9035C" w:rsidRPr="00D9035C" w:rsidRDefault="00D9035C" w:rsidP="00D9035C">
      <w:pPr>
        <w:pStyle w:val="Title"/>
        <w:jc w:val="center"/>
        <w:rPr>
          <w:rFonts w:asciiTheme="majorBidi" w:hAnsiTheme="majorBidi"/>
          <w:sz w:val="52"/>
          <w:szCs w:val="52"/>
          <w:lang w:val="en-US"/>
        </w:rPr>
      </w:pPr>
      <w:r w:rsidRPr="00D9035C">
        <w:rPr>
          <w:rFonts w:asciiTheme="majorBidi" w:hAnsiTheme="majorBidi"/>
          <w:sz w:val="52"/>
          <w:szCs w:val="52"/>
          <w:lang w:val="en-US"/>
        </w:rPr>
        <w:t>Beyond Profits: A comparison of the Impact of ESG on Islamic and Conventional Banks Performance in the GCC and MENAT Countries</w:t>
      </w:r>
    </w:p>
    <w:p w14:paraId="1BB3E587" w14:textId="77777777" w:rsidR="00D9035C" w:rsidRPr="00D9035C" w:rsidRDefault="00D9035C" w:rsidP="00D9035C">
      <w:pPr>
        <w:rPr>
          <w:rFonts w:asciiTheme="majorBidi" w:hAnsiTheme="majorBidi" w:cstheme="majorBidi"/>
        </w:rPr>
      </w:pPr>
    </w:p>
    <w:p w14:paraId="4F33518B" w14:textId="145CEC86" w:rsidR="00D9035C" w:rsidRPr="00D9035C" w:rsidRDefault="00D9035C" w:rsidP="00D9035C">
      <w:pPr>
        <w:pStyle w:val="Heading1"/>
        <w:spacing w:line="360" w:lineRule="auto"/>
        <w:rPr>
          <w:rFonts w:asciiTheme="majorBidi" w:hAnsiTheme="majorBidi"/>
          <w:color w:val="auto"/>
          <w:sz w:val="28"/>
          <w:szCs w:val="28"/>
          <w:vertAlign w:val="superscript"/>
          <w:lang w:val="en-US"/>
        </w:rPr>
      </w:pPr>
      <w:r w:rsidRPr="00D9035C">
        <w:rPr>
          <w:rFonts w:asciiTheme="majorBidi" w:hAnsiTheme="majorBidi"/>
          <w:color w:val="auto"/>
          <w:sz w:val="28"/>
          <w:szCs w:val="28"/>
          <w:lang w:val="en-US"/>
        </w:rPr>
        <w:t>Rania A. Salem</w:t>
      </w:r>
      <w:r w:rsidRPr="00D9035C">
        <w:rPr>
          <w:rFonts w:asciiTheme="majorBidi" w:hAnsiTheme="majorBidi"/>
          <w:color w:val="auto"/>
          <w:sz w:val="28"/>
          <w:szCs w:val="28"/>
          <w:vertAlign w:val="superscript"/>
          <w:lang w:val="en-US"/>
        </w:rPr>
        <w:t>a</w:t>
      </w:r>
      <w:r w:rsidRPr="00D9035C">
        <w:rPr>
          <w:rFonts w:asciiTheme="majorBidi" w:hAnsiTheme="majorBidi"/>
          <w:color w:val="auto"/>
          <w:sz w:val="28"/>
          <w:szCs w:val="28"/>
          <w:lang w:val="en-US"/>
        </w:rPr>
        <w:t xml:space="preserve"> and </w:t>
      </w:r>
      <w:r w:rsidRPr="00D9035C">
        <w:rPr>
          <w:rFonts w:asciiTheme="majorBidi" w:hAnsiTheme="majorBidi"/>
          <w:color w:val="auto"/>
          <w:sz w:val="28"/>
          <w:szCs w:val="28"/>
          <w:lang w:val="en-US"/>
        </w:rPr>
        <w:t>Mohamed Mustafa</w:t>
      </w:r>
      <w:r w:rsidRPr="00D9035C">
        <w:rPr>
          <w:rFonts w:asciiTheme="majorBidi" w:hAnsiTheme="majorBidi"/>
          <w:color w:val="auto"/>
          <w:sz w:val="28"/>
          <w:szCs w:val="28"/>
          <w:vertAlign w:val="superscript"/>
          <w:lang w:val="en-US"/>
        </w:rPr>
        <w:t>b</w:t>
      </w:r>
    </w:p>
    <w:p w14:paraId="7ECC26DF" w14:textId="77777777" w:rsidR="00D9035C" w:rsidRPr="00D9035C" w:rsidRDefault="00D9035C" w:rsidP="00D9035C">
      <w:pPr>
        <w:pStyle w:val="Heading1"/>
        <w:spacing w:before="0" w:line="240" w:lineRule="auto"/>
        <w:rPr>
          <w:rFonts w:asciiTheme="majorBidi" w:hAnsiTheme="majorBidi"/>
          <w:i/>
          <w:iCs/>
          <w:color w:val="auto"/>
          <w:sz w:val="20"/>
          <w:szCs w:val="20"/>
          <w:lang w:val="en-US"/>
        </w:rPr>
      </w:pPr>
      <w:r w:rsidRPr="00D9035C">
        <w:rPr>
          <w:rFonts w:asciiTheme="majorBidi" w:hAnsiTheme="majorBidi"/>
          <w:color w:val="auto"/>
          <w:sz w:val="28"/>
          <w:szCs w:val="28"/>
          <w:vertAlign w:val="superscript"/>
          <w:lang w:val="en-US"/>
        </w:rPr>
        <w:t xml:space="preserve">a </w:t>
      </w:r>
      <w:r w:rsidRPr="00D9035C">
        <w:rPr>
          <w:rFonts w:asciiTheme="majorBidi" w:hAnsiTheme="majorBidi"/>
          <w:i/>
          <w:iCs/>
          <w:color w:val="auto"/>
          <w:sz w:val="20"/>
          <w:szCs w:val="20"/>
          <w:lang w:val="en-US"/>
        </w:rPr>
        <w:t>Assistant Professor of Finance, the British University in Egypt (BUE), Cairo, Egypt</w:t>
      </w:r>
    </w:p>
    <w:p w14:paraId="78FC2FFF" w14:textId="343A6692" w:rsidR="00D9035C" w:rsidRPr="00D9035C" w:rsidRDefault="00D9035C" w:rsidP="00D9035C">
      <w:pPr>
        <w:pStyle w:val="Heading1"/>
        <w:spacing w:before="0" w:line="240" w:lineRule="auto"/>
        <w:rPr>
          <w:rFonts w:asciiTheme="majorBidi" w:hAnsiTheme="majorBidi"/>
          <w:i/>
          <w:iCs/>
          <w:color w:val="auto"/>
          <w:sz w:val="20"/>
          <w:szCs w:val="20"/>
          <w:lang w:val="en-US"/>
        </w:rPr>
      </w:pPr>
      <w:r w:rsidRPr="00D9035C">
        <w:rPr>
          <w:rFonts w:asciiTheme="majorBidi" w:hAnsiTheme="majorBidi"/>
          <w:color w:val="auto"/>
          <w:sz w:val="28"/>
          <w:szCs w:val="28"/>
          <w:vertAlign w:val="superscript"/>
          <w:lang w:val="en-US"/>
        </w:rPr>
        <w:t>b</w:t>
      </w:r>
      <w:r w:rsidRPr="00D9035C">
        <w:rPr>
          <w:rFonts w:asciiTheme="majorBidi" w:hAnsiTheme="majorBidi"/>
          <w:i/>
          <w:iCs/>
          <w:color w:val="auto"/>
          <w:sz w:val="20"/>
          <w:szCs w:val="20"/>
          <w:lang w:val="en-US"/>
        </w:rPr>
        <w:t>Researcher, t</w:t>
      </w:r>
      <w:r w:rsidRPr="00D9035C">
        <w:rPr>
          <w:rFonts w:asciiTheme="majorBidi" w:hAnsiTheme="majorBidi"/>
          <w:i/>
          <w:iCs/>
          <w:color w:val="auto"/>
          <w:sz w:val="20"/>
          <w:szCs w:val="20"/>
          <w:lang w:val="en-US"/>
        </w:rPr>
        <w:t>he British University in Egypt (BUE), Cairo, Egypt</w:t>
      </w:r>
    </w:p>
    <w:p w14:paraId="7DCA348E" w14:textId="77777777" w:rsidR="00D9035C" w:rsidRPr="00D9035C" w:rsidRDefault="00D9035C" w:rsidP="00D9035C">
      <w:pPr>
        <w:rPr>
          <w:rFonts w:asciiTheme="majorBidi" w:hAnsiTheme="majorBidi" w:cstheme="majorBidi"/>
          <w:b/>
          <w:bCs/>
          <w:caps/>
          <w:sz w:val="24"/>
        </w:rPr>
      </w:pPr>
    </w:p>
    <w:p w14:paraId="514F3394" w14:textId="77777777" w:rsidR="00D9035C" w:rsidRPr="00D9035C" w:rsidRDefault="00D9035C" w:rsidP="00D9035C">
      <w:pPr>
        <w:rPr>
          <w:rFonts w:asciiTheme="majorBidi" w:hAnsiTheme="majorBidi" w:cstheme="majorBidi"/>
          <w:b/>
          <w:bCs/>
          <w:caps/>
          <w:sz w:val="24"/>
        </w:rPr>
      </w:pPr>
      <w:r w:rsidRPr="00D9035C">
        <w:rPr>
          <w:rFonts w:asciiTheme="majorBidi" w:hAnsiTheme="majorBidi" w:cstheme="majorBidi"/>
          <w:b/>
          <w:bCs/>
          <w:caps/>
          <w:sz w:val="24"/>
        </w:rPr>
        <w:t xml:space="preserve">Abstract </w:t>
      </w:r>
    </w:p>
    <w:p w14:paraId="6D14E1C8" w14:textId="7451F0FF" w:rsidR="00863773" w:rsidRDefault="006B0623" w:rsidP="009302CC">
      <w:pPr>
        <w:jc w:val="both"/>
        <w:rPr>
          <w:rFonts w:asciiTheme="majorBidi" w:hAnsiTheme="majorBidi" w:cstheme="majorBidi"/>
          <w:sz w:val="24"/>
          <w:szCs w:val="24"/>
        </w:rPr>
      </w:pPr>
      <w:r w:rsidRPr="00D9035C">
        <w:rPr>
          <w:rFonts w:asciiTheme="majorBidi" w:hAnsiTheme="majorBidi" w:cstheme="majorBidi"/>
          <w:sz w:val="24"/>
          <w:szCs w:val="24"/>
        </w:rPr>
        <w:t>The integration of Environmental, Social and Governance (ESG) practices in the financial sector has been steadily gaining headwind on the back of more environmentally conscious stakeh</w:t>
      </w:r>
      <w:r w:rsidR="00F024B0" w:rsidRPr="00D9035C">
        <w:rPr>
          <w:rFonts w:asciiTheme="majorBidi" w:hAnsiTheme="majorBidi" w:cstheme="majorBidi"/>
          <w:sz w:val="24"/>
          <w:szCs w:val="24"/>
        </w:rPr>
        <w:t>olders and stricter regulations. This integration comes</w:t>
      </w:r>
      <w:r w:rsidRPr="00D9035C">
        <w:rPr>
          <w:rFonts w:asciiTheme="majorBidi" w:hAnsiTheme="majorBidi" w:cstheme="majorBidi"/>
          <w:sz w:val="24"/>
          <w:szCs w:val="24"/>
        </w:rPr>
        <w:t xml:space="preserve"> in adherence to the Sustainable Development Goals (SDGs). </w:t>
      </w:r>
      <w:r w:rsidR="00F024B0" w:rsidRPr="00D9035C">
        <w:rPr>
          <w:rFonts w:asciiTheme="majorBidi" w:hAnsiTheme="majorBidi" w:cstheme="majorBidi"/>
          <w:sz w:val="24"/>
          <w:szCs w:val="24"/>
        </w:rPr>
        <w:t>Aspinall et al. (</w:t>
      </w:r>
      <w:r w:rsidR="00F024B0" w:rsidRPr="00D9035C">
        <w:rPr>
          <w:rFonts w:asciiTheme="majorBidi" w:hAnsiTheme="majorBidi" w:cstheme="majorBidi"/>
          <w:sz w:val="24"/>
          <w:szCs w:val="24"/>
        </w:rPr>
        <w:t>2018</w:t>
      </w:r>
      <w:r w:rsidR="00F024B0" w:rsidRPr="00D9035C">
        <w:rPr>
          <w:rFonts w:asciiTheme="majorBidi" w:hAnsiTheme="majorBidi" w:cstheme="majorBidi"/>
          <w:sz w:val="24"/>
          <w:szCs w:val="24"/>
        </w:rPr>
        <w:t xml:space="preserve">) and </w:t>
      </w:r>
      <w:r w:rsidR="00F024B0" w:rsidRPr="00D9035C">
        <w:rPr>
          <w:rFonts w:asciiTheme="majorBidi" w:hAnsiTheme="majorBidi" w:cstheme="majorBidi"/>
          <w:sz w:val="24"/>
          <w:szCs w:val="24"/>
        </w:rPr>
        <w:t>Ferreira et al.</w:t>
      </w:r>
      <w:r w:rsidR="00F024B0" w:rsidRPr="00D9035C">
        <w:rPr>
          <w:rFonts w:asciiTheme="majorBidi" w:hAnsiTheme="majorBidi" w:cstheme="majorBidi"/>
          <w:sz w:val="24"/>
          <w:szCs w:val="24"/>
        </w:rPr>
        <w:t xml:space="preserve"> (</w:t>
      </w:r>
      <w:r w:rsidR="00F024B0" w:rsidRPr="00D9035C">
        <w:rPr>
          <w:rFonts w:asciiTheme="majorBidi" w:hAnsiTheme="majorBidi" w:cstheme="majorBidi"/>
          <w:sz w:val="24"/>
          <w:szCs w:val="24"/>
        </w:rPr>
        <w:t>2016)</w:t>
      </w:r>
      <w:r w:rsidR="00F024B0" w:rsidRPr="00D9035C">
        <w:rPr>
          <w:rFonts w:asciiTheme="majorBidi" w:hAnsiTheme="majorBidi" w:cstheme="majorBidi"/>
          <w:sz w:val="24"/>
          <w:szCs w:val="24"/>
        </w:rPr>
        <w:t xml:space="preserve"> argue that </w:t>
      </w:r>
      <w:r w:rsidRPr="00D9035C">
        <w:rPr>
          <w:rFonts w:asciiTheme="majorBidi" w:hAnsiTheme="majorBidi" w:cstheme="majorBidi"/>
          <w:sz w:val="24"/>
          <w:szCs w:val="24"/>
        </w:rPr>
        <w:t xml:space="preserve">conventional finance </w:t>
      </w:r>
      <w:r w:rsidR="00F024B0" w:rsidRPr="00D9035C">
        <w:rPr>
          <w:rFonts w:asciiTheme="majorBidi" w:hAnsiTheme="majorBidi" w:cstheme="majorBidi"/>
          <w:sz w:val="24"/>
          <w:szCs w:val="24"/>
        </w:rPr>
        <w:t xml:space="preserve">is perceived </w:t>
      </w:r>
      <w:r w:rsidRPr="00D9035C">
        <w:rPr>
          <w:rFonts w:asciiTheme="majorBidi" w:hAnsiTheme="majorBidi" w:cstheme="majorBidi"/>
          <w:sz w:val="24"/>
          <w:szCs w:val="24"/>
        </w:rPr>
        <w:t>as an inadequate tool in financing SDGs</w:t>
      </w:r>
      <w:r w:rsidR="00F024B0" w:rsidRPr="00D9035C">
        <w:rPr>
          <w:rFonts w:asciiTheme="majorBidi" w:hAnsiTheme="majorBidi" w:cstheme="majorBidi"/>
          <w:sz w:val="24"/>
          <w:szCs w:val="24"/>
        </w:rPr>
        <w:t xml:space="preserve"> because </w:t>
      </w:r>
      <w:r w:rsidRPr="00D9035C">
        <w:rPr>
          <w:rFonts w:asciiTheme="majorBidi" w:hAnsiTheme="majorBidi" w:cstheme="majorBidi"/>
          <w:sz w:val="24"/>
          <w:szCs w:val="24"/>
        </w:rPr>
        <w:t xml:space="preserve">environmental and social dimensions </w:t>
      </w:r>
      <w:r w:rsidR="00F024B0" w:rsidRPr="00D9035C">
        <w:rPr>
          <w:rFonts w:asciiTheme="majorBidi" w:hAnsiTheme="majorBidi" w:cstheme="majorBidi"/>
          <w:sz w:val="24"/>
          <w:szCs w:val="24"/>
        </w:rPr>
        <w:t xml:space="preserve">are often disregarded in </w:t>
      </w:r>
      <w:r w:rsidRPr="00D9035C">
        <w:rPr>
          <w:rFonts w:asciiTheme="majorBidi" w:hAnsiTheme="majorBidi" w:cstheme="majorBidi"/>
          <w:sz w:val="24"/>
          <w:szCs w:val="24"/>
        </w:rPr>
        <w:t>their investments</w:t>
      </w:r>
      <w:r w:rsidR="00FC541D" w:rsidRPr="00D9035C">
        <w:rPr>
          <w:rFonts w:asciiTheme="majorBidi" w:hAnsiTheme="majorBidi" w:cstheme="majorBidi"/>
          <w:sz w:val="24"/>
          <w:szCs w:val="24"/>
        </w:rPr>
        <w:t xml:space="preserve">, which conflicts the main role of banks in </w:t>
      </w:r>
      <w:r w:rsidRPr="00D9035C">
        <w:rPr>
          <w:rFonts w:asciiTheme="majorBidi" w:hAnsiTheme="majorBidi" w:cstheme="majorBidi"/>
          <w:sz w:val="24"/>
          <w:szCs w:val="24"/>
        </w:rPr>
        <w:t xml:space="preserve">promoting financial stability and growth. </w:t>
      </w:r>
      <w:r w:rsidR="00A60AD4">
        <w:rPr>
          <w:rFonts w:asciiTheme="majorBidi" w:hAnsiTheme="majorBidi" w:cstheme="majorBidi"/>
          <w:sz w:val="24"/>
          <w:szCs w:val="24"/>
        </w:rPr>
        <w:t xml:space="preserve">On the contrary, </w:t>
      </w:r>
      <w:r w:rsidRPr="00D9035C">
        <w:rPr>
          <w:rFonts w:asciiTheme="majorBidi" w:hAnsiTheme="majorBidi" w:cstheme="majorBidi"/>
          <w:sz w:val="24"/>
          <w:szCs w:val="24"/>
        </w:rPr>
        <w:t xml:space="preserve">Islamic </w:t>
      </w:r>
      <w:r w:rsidR="00753117" w:rsidRPr="00D9035C">
        <w:rPr>
          <w:rFonts w:asciiTheme="majorBidi" w:hAnsiTheme="majorBidi" w:cstheme="majorBidi"/>
          <w:sz w:val="24"/>
          <w:szCs w:val="24"/>
        </w:rPr>
        <w:t xml:space="preserve">Banks </w:t>
      </w:r>
      <w:r w:rsidR="00A60AD4">
        <w:rPr>
          <w:rFonts w:asciiTheme="majorBidi" w:hAnsiTheme="majorBidi" w:cstheme="majorBidi"/>
          <w:sz w:val="24"/>
          <w:szCs w:val="24"/>
        </w:rPr>
        <w:t>are</w:t>
      </w:r>
      <w:r w:rsidRPr="00D9035C">
        <w:rPr>
          <w:rFonts w:asciiTheme="majorBidi" w:hAnsiTheme="majorBidi" w:cstheme="majorBidi"/>
          <w:sz w:val="24"/>
          <w:szCs w:val="24"/>
        </w:rPr>
        <w:t xml:space="preserve"> based on Maqasid al-Shari'ah</w:t>
      </w:r>
      <w:r w:rsidR="00A60AD4">
        <w:rPr>
          <w:rFonts w:asciiTheme="majorBidi" w:hAnsiTheme="majorBidi" w:cstheme="majorBidi"/>
          <w:sz w:val="24"/>
          <w:szCs w:val="24"/>
        </w:rPr>
        <w:t xml:space="preserve"> which provide</w:t>
      </w:r>
      <w:r w:rsidR="00FC541D" w:rsidRPr="00D9035C">
        <w:rPr>
          <w:rFonts w:asciiTheme="majorBidi" w:hAnsiTheme="majorBidi" w:cstheme="majorBidi"/>
          <w:sz w:val="24"/>
          <w:szCs w:val="24"/>
        </w:rPr>
        <w:t xml:space="preserve"> a holistic approach that</w:t>
      </w:r>
      <w:r w:rsidRPr="00D9035C">
        <w:rPr>
          <w:rFonts w:asciiTheme="majorBidi" w:hAnsiTheme="majorBidi" w:cstheme="majorBidi"/>
          <w:sz w:val="24"/>
          <w:szCs w:val="24"/>
        </w:rPr>
        <w:t xml:space="preserve"> promotes financial and social inclusion as well as environmental preservation</w:t>
      </w:r>
      <w:r w:rsidR="000F57A5" w:rsidRPr="00D9035C">
        <w:rPr>
          <w:rFonts w:asciiTheme="majorBidi" w:hAnsiTheme="majorBidi" w:cstheme="majorBidi"/>
          <w:sz w:val="24"/>
          <w:szCs w:val="24"/>
        </w:rPr>
        <w:t xml:space="preserve"> (</w:t>
      </w:r>
      <w:r w:rsidR="007A23D2" w:rsidRPr="00D9035C">
        <w:rPr>
          <w:rFonts w:asciiTheme="majorBidi" w:hAnsiTheme="majorBidi" w:cstheme="majorBidi"/>
          <w:sz w:val="24"/>
          <w:szCs w:val="24"/>
        </w:rPr>
        <w:t>Bukhari et al.,</w:t>
      </w:r>
      <w:r w:rsidR="00041FF9" w:rsidRPr="00D9035C">
        <w:rPr>
          <w:rFonts w:asciiTheme="majorBidi" w:hAnsiTheme="majorBidi" w:cstheme="majorBidi"/>
          <w:sz w:val="24"/>
          <w:szCs w:val="24"/>
        </w:rPr>
        <w:t xml:space="preserve"> 2019)</w:t>
      </w:r>
      <w:r w:rsidRPr="00D9035C">
        <w:rPr>
          <w:rFonts w:asciiTheme="majorBidi" w:hAnsiTheme="majorBidi" w:cstheme="majorBidi"/>
          <w:sz w:val="24"/>
          <w:szCs w:val="24"/>
        </w:rPr>
        <w:t xml:space="preserve">. This </w:t>
      </w:r>
      <w:r w:rsidR="00A60AD4">
        <w:rPr>
          <w:rFonts w:asciiTheme="majorBidi" w:hAnsiTheme="majorBidi" w:cstheme="majorBidi"/>
          <w:sz w:val="24"/>
          <w:szCs w:val="24"/>
        </w:rPr>
        <w:t>implies that</w:t>
      </w:r>
      <w:r w:rsidRPr="00D9035C">
        <w:rPr>
          <w:rFonts w:asciiTheme="majorBidi" w:hAnsiTheme="majorBidi" w:cstheme="majorBidi"/>
          <w:sz w:val="24"/>
          <w:szCs w:val="24"/>
        </w:rPr>
        <w:t xml:space="preserve"> Islamic Banks </w:t>
      </w:r>
      <w:r w:rsidR="00617301" w:rsidRPr="00D9035C">
        <w:rPr>
          <w:rFonts w:asciiTheme="majorBidi" w:hAnsiTheme="majorBidi" w:cstheme="majorBidi"/>
          <w:sz w:val="24"/>
          <w:szCs w:val="24"/>
        </w:rPr>
        <w:t xml:space="preserve">easily </w:t>
      </w:r>
      <w:r w:rsidRPr="00D9035C">
        <w:rPr>
          <w:rFonts w:asciiTheme="majorBidi" w:hAnsiTheme="majorBidi" w:cstheme="majorBidi"/>
          <w:sz w:val="24"/>
          <w:szCs w:val="24"/>
        </w:rPr>
        <w:t xml:space="preserve">align with </w:t>
      </w:r>
      <w:r w:rsidR="00617301" w:rsidRPr="00D9035C">
        <w:rPr>
          <w:rFonts w:asciiTheme="majorBidi" w:hAnsiTheme="majorBidi" w:cstheme="majorBidi"/>
          <w:sz w:val="24"/>
          <w:szCs w:val="24"/>
        </w:rPr>
        <w:t xml:space="preserve">the ESG principles, </w:t>
      </w:r>
      <w:r w:rsidR="00A60AD4">
        <w:rPr>
          <w:rFonts w:asciiTheme="majorBidi" w:hAnsiTheme="majorBidi" w:cstheme="majorBidi"/>
          <w:sz w:val="24"/>
          <w:szCs w:val="24"/>
        </w:rPr>
        <w:t>unlike their</w:t>
      </w:r>
      <w:r w:rsidR="00617301" w:rsidRPr="00D9035C">
        <w:rPr>
          <w:rFonts w:asciiTheme="majorBidi" w:hAnsiTheme="majorBidi" w:cstheme="majorBidi"/>
          <w:sz w:val="24"/>
          <w:szCs w:val="24"/>
        </w:rPr>
        <w:t xml:space="preserve"> conventional counterparts.</w:t>
      </w:r>
      <w:r w:rsidRPr="00D9035C">
        <w:rPr>
          <w:rFonts w:asciiTheme="majorBidi" w:hAnsiTheme="majorBidi" w:cstheme="majorBidi"/>
          <w:sz w:val="24"/>
          <w:szCs w:val="24"/>
        </w:rPr>
        <w:t xml:space="preserve"> </w:t>
      </w:r>
      <w:r w:rsidR="00365E22" w:rsidRPr="00D9035C">
        <w:rPr>
          <w:rFonts w:asciiTheme="majorBidi" w:hAnsiTheme="majorBidi" w:cstheme="majorBidi"/>
          <w:sz w:val="24"/>
          <w:szCs w:val="24"/>
        </w:rPr>
        <w:t>The current body of research hold conflicting opinions on the impact of ESG</w:t>
      </w:r>
      <w:r w:rsidR="00365E22">
        <w:rPr>
          <w:rFonts w:asciiTheme="majorBidi" w:hAnsiTheme="majorBidi" w:cstheme="majorBidi"/>
          <w:sz w:val="24"/>
          <w:szCs w:val="24"/>
        </w:rPr>
        <w:t xml:space="preserve"> </w:t>
      </w:r>
      <w:r w:rsidR="00365E22">
        <w:rPr>
          <w:rFonts w:asciiTheme="majorBidi" w:hAnsiTheme="majorBidi" w:cstheme="majorBidi"/>
          <w:sz w:val="24"/>
          <w:szCs w:val="24"/>
        </w:rPr>
        <w:t>performance</w:t>
      </w:r>
      <w:r w:rsidR="00365E22" w:rsidRPr="00D9035C">
        <w:rPr>
          <w:rFonts w:asciiTheme="majorBidi" w:hAnsiTheme="majorBidi" w:cstheme="majorBidi"/>
          <w:sz w:val="24"/>
          <w:szCs w:val="24"/>
        </w:rPr>
        <w:t xml:space="preserve">, where the trade-off hypothesis argues that firms investing on ESG activities are likely to suffer from inefficient use of resources (Alam, Banna, &amp; Hassan, 2022), while other research argue for the </w:t>
      </w:r>
      <w:r w:rsidR="00365E22">
        <w:rPr>
          <w:rFonts w:asciiTheme="majorBidi" w:hAnsiTheme="majorBidi" w:cstheme="majorBidi"/>
          <w:sz w:val="24"/>
          <w:szCs w:val="24"/>
        </w:rPr>
        <w:t>advantages</w:t>
      </w:r>
      <w:r w:rsidR="00365E22" w:rsidRPr="00D9035C">
        <w:rPr>
          <w:rFonts w:asciiTheme="majorBidi" w:hAnsiTheme="majorBidi" w:cstheme="majorBidi"/>
          <w:sz w:val="24"/>
          <w:szCs w:val="24"/>
        </w:rPr>
        <w:t xml:space="preserve"> of </w:t>
      </w:r>
      <w:r w:rsidR="00365E22">
        <w:rPr>
          <w:rFonts w:asciiTheme="majorBidi" w:hAnsiTheme="majorBidi" w:cstheme="majorBidi"/>
          <w:sz w:val="24"/>
          <w:szCs w:val="24"/>
        </w:rPr>
        <w:t>efficient ESG performance</w:t>
      </w:r>
      <w:r w:rsidR="00365E22" w:rsidRPr="00D9035C">
        <w:rPr>
          <w:rFonts w:asciiTheme="majorBidi" w:hAnsiTheme="majorBidi" w:cstheme="majorBidi"/>
          <w:sz w:val="24"/>
          <w:szCs w:val="24"/>
        </w:rPr>
        <w:t xml:space="preserve"> (Buallay, Kukreja &amp; Hassan, 2020). </w:t>
      </w:r>
      <w:r w:rsidR="001672FF">
        <w:rPr>
          <w:rFonts w:asciiTheme="majorBidi" w:hAnsiTheme="majorBidi" w:cstheme="majorBidi"/>
          <w:sz w:val="24"/>
          <w:szCs w:val="24"/>
        </w:rPr>
        <w:t xml:space="preserve">Several studies discussed the relationship between ESG and firm performance with few researches covering the banking industry. Investigating the impact of ESG performance on Islamic banks remains an untapped area of research. </w:t>
      </w:r>
      <w:r w:rsidR="00A60AD4">
        <w:rPr>
          <w:rFonts w:asciiTheme="majorBidi" w:hAnsiTheme="majorBidi" w:cstheme="majorBidi"/>
          <w:sz w:val="24"/>
          <w:szCs w:val="24"/>
        </w:rPr>
        <w:t>This paper examines the impact of ESG</w:t>
      </w:r>
      <w:r w:rsidR="00365E22">
        <w:rPr>
          <w:rFonts w:asciiTheme="majorBidi" w:hAnsiTheme="majorBidi" w:cstheme="majorBidi"/>
          <w:sz w:val="24"/>
          <w:szCs w:val="24"/>
        </w:rPr>
        <w:t xml:space="preserve"> performance</w:t>
      </w:r>
      <w:r w:rsidR="00A60AD4">
        <w:rPr>
          <w:rFonts w:asciiTheme="majorBidi" w:hAnsiTheme="majorBidi" w:cstheme="majorBidi"/>
          <w:sz w:val="24"/>
          <w:szCs w:val="24"/>
        </w:rPr>
        <w:t xml:space="preserve"> on the financial performance of </w:t>
      </w:r>
      <w:r w:rsidR="00B20E95">
        <w:rPr>
          <w:rFonts w:asciiTheme="majorBidi" w:hAnsiTheme="majorBidi" w:cstheme="majorBidi"/>
          <w:sz w:val="24"/>
          <w:szCs w:val="24"/>
        </w:rPr>
        <w:t xml:space="preserve">banks </w:t>
      </w:r>
      <w:r w:rsidR="00A60AD4">
        <w:rPr>
          <w:rFonts w:asciiTheme="majorBidi" w:hAnsiTheme="majorBidi" w:cstheme="majorBidi"/>
          <w:sz w:val="24"/>
          <w:szCs w:val="24"/>
        </w:rPr>
        <w:t xml:space="preserve">in the </w:t>
      </w:r>
      <w:r w:rsidR="00B20E95">
        <w:rPr>
          <w:rFonts w:asciiTheme="majorBidi" w:hAnsiTheme="majorBidi" w:cstheme="majorBidi"/>
          <w:sz w:val="24"/>
          <w:szCs w:val="24"/>
        </w:rPr>
        <w:t>Gulf Cooperation Council (GCC) countries</w:t>
      </w:r>
      <w:r w:rsidR="00B20E95">
        <w:rPr>
          <w:rFonts w:asciiTheme="majorBidi" w:hAnsiTheme="majorBidi" w:cstheme="majorBidi"/>
          <w:sz w:val="24"/>
          <w:szCs w:val="24"/>
        </w:rPr>
        <w:t xml:space="preserve"> </w:t>
      </w:r>
      <w:r w:rsidR="00A60AD4">
        <w:rPr>
          <w:rFonts w:asciiTheme="majorBidi" w:hAnsiTheme="majorBidi" w:cstheme="majorBidi"/>
          <w:sz w:val="24"/>
          <w:szCs w:val="24"/>
        </w:rPr>
        <w:t>and countries in the MENAT region</w:t>
      </w:r>
      <w:r w:rsidR="00B20E95">
        <w:rPr>
          <w:rFonts w:asciiTheme="majorBidi" w:hAnsiTheme="majorBidi" w:cstheme="majorBidi"/>
          <w:sz w:val="24"/>
          <w:szCs w:val="24"/>
        </w:rPr>
        <w:t xml:space="preserve">, over the period </w:t>
      </w:r>
      <w:r w:rsidR="00B20E95" w:rsidRPr="00B20E95">
        <w:rPr>
          <w:rFonts w:asciiTheme="majorBidi" w:hAnsiTheme="majorBidi" w:cstheme="majorBidi"/>
          <w:sz w:val="24"/>
          <w:szCs w:val="24"/>
        </w:rPr>
        <w:t>2017-2021</w:t>
      </w:r>
      <w:r w:rsidR="00A60AD4">
        <w:rPr>
          <w:rFonts w:asciiTheme="majorBidi" w:hAnsiTheme="majorBidi" w:cstheme="majorBidi"/>
          <w:sz w:val="24"/>
          <w:szCs w:val="24"/>
        </w:rPr>
        <w:t xml:space="preserve">. </w:t>
      </w:r>
      <w:r w:rsidR="00B20E95">
        <w:rPr>
          <w:rFonts w:asciiTheme="majorBidi" w:hAnsiTheme="majorBidi" w:cstheme="majorBidi"/>
          <w:sz w:val="24"/>
          <w:szCs w:val="24"/>
        </w:rPr>
        <w:t>We further investigate whether the impact of ESG</w:t>
      </w:r>
      <w:r w:rsidR="00365E22">
        <w:rPr>
          <w:rFonts w:asciiTheme="majorBidi" w:hAnsiTheme="majorBidi" w:cstheme="majorBidi"/>
          <w:sz w:val="24"/>
          <w:szCs w:val="24"/>
        </w:rPr>
        <w:t xml:space="preserve"> performance</w:t>
      </w:r>
      <w:r w:rsidR="00B20E95">
        <w:rPr>
          <w:rFonts w:asciiTheme="majorBidi" w:hAnsiTheme="majorBidi" w:cstheme="majorBidi"/>
          <w:sz w:val="24"/>
          <w:szCs w:val="24"/>
        </w:rPr>
        <w:t xml:space="preserve"> on </w:t>
      </w:r>
      <w:r w:rsidR="00B20E95">
        <w:rPr>
          <w:rFonts w:asciiTheme="majorBidi" w:hAnsiTheme="majorBidi" w:cstheme="majorBidi"/>
          <w:sz w:val="24"/>
          <w:szCs w:val="24"/>
        </w:rPr>
        <w:t xml:space="preserve">Islamic </w:t>
      </w:r>
      <w:r w:rsidR="00B20E95">
        <w:rPr>
          <w:rFonts w:asciiTheme="majorBidi" w:hAnsiTheme="majorBidi" w:cstheme="majorBidi"/>
          <w:sz w:val="24"/>
          <w:szCs w:val="24"/>
        </w:rPr>
        <w:t xml:space="preserve">banks is different than </w:t>
      </w:r>
      <w:r w:rsidR="00FF4EE6">
        <w:rPr>
          <w:rFonts w:asciiTheme="majorBidi" w:hAnsiTheme="majorBidi" w:cstheme="majorBidi"/>
          <w:sz w:val="24"/>
          <w:szCs w:val="24"/>
        </w:rPr>
        <w:t xml:space="preserve">that </w:t>
      </w:r>
      <w:r w:rsidR="00B20E95">
        <w:rPr>
          <w:rFonts w:asciiTheme="majorBidi" w:hAnsiTheme="majorBidi" w:cstheme="majorBidi"/>
          <w:sz w:val="24"/>
          <w:szCs w:val="24"/>
        </w:rPr>
        <w:t xml:space="preserve">on conventional banks. We extend our analysis to compare </w:t>
      </w:r>
      <w:r w:rsidR="00FF4EE6">
        <w:rPr>
          <w:rFonts w:asciiTheme="majorBidi" w:hAnsiTheme="majorBidi" w:cstheme="majorBidi"/>
          <w:sz w:val="24"/>
          <w:szCs w:val="24"/>
        </w:rPr>
        <w:t>both</w:t>
      </w:r>
      <w:r w:rsidR="00B20E95">
        <w:rPr>
          <w:rFonts w:asciiTheme="majorBidi" w:hAnsiTheme="majorBidi" w:cstheme="majorBidi"/>
          <w:sz w:val="24"/>
          <w:szCs w:val="24"/>
        </w:rPr>
        <w:t xml:space="preserve"> regions. </w:t>
      </w:r>
      <w:r w:rsidR="008D22FC">
        <w:rPr>
          <w:rFonts w:asciiTheme="majorBidi" w:hAnsiTheme="majorBidi" w:cstheme="majorBidi"/>
          <w:sz w:val="24"/>
          <w:szCs w:val="24"/>
        </w:rPr>
        <w:t xml:space="preserve">This study employs </w:t>
      </w:r>
      <w:r w:rsidR="008D22FC" w:rsidRPr="00D9035C">
        <w:rPr>
          <w:rFonts w:asciiTheme="majorBidi" w:hAnsiTheme="majorBidi" w:cstheme="majorBidi"/>
          <w:sz w:val="24"/>
          <w:szCs w:val="24"/>
        </w:rPr>
        <w:t xml:space="preserve">the triangulation techniques, where the model consists of a Bayesian panel </w:t>
      </w:r>
      <w:r w:rsidR="008D22FC" w:rsidRPr="00D9035C">
        <w:rPr>
          <w:rFonts w:asciiTheme="majorBidi" w:hAnsiTheme="majorBidi" w:cstheme="majorBidi"/>
          <w:sz w:val="24"/>
          <w:szCs w:val="24"/>
        </w:rPr>
        <w:t>auto regression</w:t>
      </w:r>
      <w:r w:rsidR="008D22FC" w:rsidRPr="00D9035C">
        <w:rPr>
          <w:rFonts w:asciiTheme="majorBidi" w:hAnsiTheme="majorBidi" w:cstheme="majorBidi"/>
          <w:sz w:val="24"/>
          <w:szCs w:val="24"/>
        </w:rPr>
        <w:t xml:space="preserve">, a </w:t>
      </w:r>
      <w:r w:rsidR="008D22FC">
        <w:rPr>
          <w:rFonts w:asciiTheme="majorBidi" w:hAnsiTheme="majorBidi" w:cstheme="majorBidi"/>
          <w:sz w:val="24"/>
          <w:szCs w:val="24"/>
        </w:rPr>
        <w:t>Generalised Method of M</w:t>
      </w:r>
      <w:r w:rsidR="008D22FC" w:rsidRPr="008D22FC">
        <w:rPr>
          <w:rFonts w:asciiTheme="majorBidi" w:hAnsiTheme="majorBidi" w:cstheme="majorBidi"/>
          <w:sz w:val="24"/>
          <w:szCs w:val="24"/>
        </w:rPr>
        <w:t>oments</w:t>
      </w:r>
      <w:r w:rsidR="008D22FC">
        <w:rPr>
          <w:rFonts w:ascii="AdvOT8cb2ddbd" w:hAnsi="AdvOT8cb2ddbd" w:cs="AdvOT8cb2ddbd"/>
          <w:sz w:val="16"/>
          <w:szCs w:val="16"/>
        </w:rPr>
        <w:t xml:space="preserve"> </w:t>
      </w:r>
      <w:r w:rsidR="008D22FC">
        <w:rPr>
          <w:rFonts w:asciiTheme="majorBidi" w:hAnsiTheme="majorBidi" w:cstheme="majorBidi"/>
          <w:sz w:val="24"/>
          <w:szCs w:val="24"/>
        </w:rPr>
        <w:t>(G</w:t>
      </w:r>
      <w:r w:rsidR="008D22FC" w:rsidRPr="00D9035C">
        <w:rPr>
          <w:rFonts w:asciiTheme="majorBidi" w:hAnsiTheme="majorBidi" w:cstheme="majorBidi"/>
          <w:sz w:val="24"/>
          <w:szCs w:val="24"/>
        </w:rPr>
        <w:t>MM</w:t>
      </w:r>
      <w:r w:rsidR="008D22FC">
        <w:rPr>
          <w:rFonts w:asciiTheme="majorBidi" w:hAnsiTheme="majorBidi" w:cstheme="majorBidi"/>
          <w:sz w:val="24"/>
          <w:szCs w:val="24"/>
        </w:rPr>
        <w:t>)</w:t>
      </w:r>
      <w:r w:rsidR="008D22FC" w:rsidRPr="00D9035C">
        <w:rPr>
          <w:rFonts w:asciiTheme="majorBidi" w:hAnsiTheme="majorBidi" w:cstheme="majorBidi"/>
          <w:sz w:val="24"/>
          <w:szCs w:val="24"/>
        </w:rPr>
        <w:t xml:space="preserve"> dynamic panel, and multivariate statistical methods.</w:t>
      </w:r>
      <w:r w:rsidR="008D22FC">
        <w:rPr>
          <w:rFonts w:asciiTheme="majorBidi" w:hAnsiTheme="majorBidi" w:cstheme="majorBidi"/>
          <w:sz w:val="24"/>
          <w:szCs w:val="24"/>
        </w:rPr>
        <w:t xml:space="preserve"> We test for the ESG performance using data of 58 banks </w:t>
      </w:r>
      <w:r w:rsidR="008D22FC" w:rsidRPr="00D9035C">
        <w:rPr>
          <w:rFonts w:asciiTheme="majorBidi" w:hAnsiTheme="majorBidi" w:cstheme="majorBidi"/>
          <w:sz w:val="24"/>
          <w:szCs w:val="24"/>
        </w:rPr>
        <w:t>spread across the GCC, Turkey, Egypt, Lebanon, Morocco, and Jordan</w:t>
      </w:r>
      <w:r w:rsidR="007C2BAF">
        <w:rPr>
          <w:rFonts w:asciiTheme="majorBidi" w:hAnsiTheme="majorBidi" w:cstheme="majorBidi"/>
          <w:sz w:val="24"/>
          <w:szCs w:val="24"/>
        </w:rPr>
        <w:t xml:space="preserve"> from 2017 to 2021, available in </w:t>
      </w:r>
      <w:r w:rsidR="007C2BAF" w:rsidRPr="00D9035C">
        <w:rPr>
          <w:rFonts w:asciiTheme="majorBidi" w:hAnsiTheme="majorBidi" w:cstheme="majorBidi"/>
          <w:sz w:val="24"/>
          <w:szCs w:val="24"/>
        </w:rPr>
        <w:t>MSCI and Refinitiv</w:t>
      </w:r>
      <w:r w:rsidR="007C2BAF">
        <w:rPr>
          <w:rFonts w:asciiTheme="majorBidi" w:hAnsiTheme="majorBidi" w:cstheme="majorBidi"/>
          <w:sz w:val="24"/>
          <w:szCs w:val="24"/>
        </w:rPr>
        <w:t xml:space="preserve"> databases. We test for financial performance </w:t>
      </w:r>
      <w:r w:rsidR="007C2BAF" w:rsidRPr="00D9035C">
        <w:rPr>
          <w:rFonts w:asciiTheme="majorBidi" w:hAnsiTheme="majorBidi" w:cstheme="majorBidi"/>
          <w:sz w:val="24"/>
          <w:szCs w:val="24"/>
        </w:rPr>
        <w:t xml:space="preserve">using Return on Assets (ROA), Return on Equity (ROE), Tobin’s Q (TQ) and Market Return (TR) with macroeconomic and bank specific </w:t>
      </w:r>
      <w:r w:rsidR="007C2BAF" w:rsidRPr="00D9035C">
        <w:rPr>
          <w:rFonts w:asciiTheme="majorBidi" w:hAnsiTheme="majorBidi" w:cstheme="majorBidi"/>
          <w:sz w:val="24"/>
          <w:szCs w:val="24"/>
        </w:rPr>
        <w:lastRenderedPageBreak/>
        <w:t>control variables.</w:t>
      </w:r>
      <w:r w:rsidR="00863773">
        <w:rPr>
          <w:rFonts w:asciiTheme="majorBidi" w:hAnsiTheme="majorBidi" w:cstheme="majorBidi"/>
          <w:sz w:val="24"/>
          <w:szCs w:val="24"/>
        </w:rPr>
        <w:t xml:space="preserve"> </w:t>
      </w:r>
      <w:r w:rsidR="009302CC">
        <w:rPr>
          <w:rFonts w:asciiTheme="majorBidi" w:hAnsiTheme="majorBidi" w:cstheme="majorBidi"/>
          <w:sz w:val="24"/>
          <w:szCs w:val="24"/>
        </w:rPr>
        <w:t xml:space="preserve">The findings indicate a positive relationship </w:t>
      </w:r>
      <w:r w:rsidR="009302CC" w:rsidRPr="00D9035C">
        <w:rPr>
          <w:rFonts w:asciiTheme="majorBidi" w:hAnsiTheme="majorBidi" w:cstheme="majorBidi"/>
          <w:sz w:val="24"/>
          <w:szCs w:val="24"/>
        </w:rPr>
        <w:t xml:space="preserve">between financial performance &amp; ESG, with Islamic Banks performing better than </w:t>
      </w:r>
      <w:r w:rsidR="009302CC">
        <w:rPr>
          <w:rFonts w:asciiTheme="majorBidi" w:hAnsiTheme="majorBidi" w:cstheme="majorBidi"/>
          <w:sz w:val="24"/>
          <w:szCs w:val="24"/>
        </w:rPr>
        <w:t xml:space="preserve">their </w:t>
      </w:r>
      <w:r w:rsidR="009302CC" w:rsidRPr="00D9035C">
        <w:rPr>
          <w:rFonts w:asciiTheme="majorBidi" w:hAnsiTheme="majorBidi" w:cstheme="majorBidi"/>
          <w:sz w:val="24"/>
          <w:szCs w:val="24"/>
        </w:rPr>
        <w:t>conventional</w:t>
      </w:r>
      <w:r w:rsidR="009302CC">
        <w:rPr>
          <w:rFonts w:asciiTheme="majorBidi" w:hAnsiTheme="majorBidi" w:cstheme="majorBidi"/>
          <w:sz w:val="24"/>
          <w:szCs w:val="24"/>
        </w:rPr>
        <w:t xml:space="preserve"> counterparts</w:t>
      </w:r>
      <w:r w:rsidR="009302CC" w:rsidRPr="00D9035C">
        <w:rPr>
          <w:rFonts w:asciiTheme="majorBidi" w:hAnsiTheme="majorBidi" w:cstheme="majorBidi"/>
          <w:sz w:val="24"/>
          <w:szCs w:val="24"/>
        </w:rPr>
        <w:t>. However, breaking down the ESG pillars, we expect the Social and Environmental factor to contribute positively, with ENV requiring more investments before yielding returns. Conversely, we expect GOV to show no impact on the profitability, if not a negative return.</w:t>
      </w:r>
      <w:r w:rsidR="009302CC">
        <w:rPr>
          <w:rFonts w:asciiTheme="majorBidi" w:hAnsiTheme="majorBidi" w:cstheme="majorBidi"/>
          <w:sz w:val="24"/>
          <w:szCs w:val="24"/>
        </w:rPr>
        <w:t xml:space="preserve"> </w:t>
      </w:r>
      <w:r w:rsidR="00863773">
        <w:rPr>
          <w:rFonts w:asciiTheme="majorBidi" w:hAnsiTheme="majorBidi" w:cstheme="majorBidi"/>
          <w:sz w:val="24"/>
          <w:szCs w:val="24"/>
        </w:rPr>
        <w:t xml:space="preserve">This paper contributes to the existing literature on Islamic banks and ESG, where no studies examined the relationship between ESG scores and bank performance in the GCC and MENAT region. </w:t>
      </w:r>
      <w:r w:rsidR="00863773">
        <w:rPr>
          <w:rFonts w:asciiTheme="majorBidi" w:hAnsiTheme="majorBidi" w:cstheme="majorBidi"/>
          <w:sz w:val="24"/>
          <w:szCs w:val="24"/>
        </w:rPr>
        <w:t xml:space="preserve">This would have significant implications, in terms of </w:t>
      </w:r>
      <w:r w:rsidR="002169F1">
        <w:rPr>
          <w:rFonts w:asciiTheme="majorBidi" w:hAnsiTheme="majorBidi" w:cstheme="majorBidi"/>
          <w:sz w:val="24"/>
          <w:szCs w:val="24"/>
        </w:rPr>
        <w:t>corporate social responsibility and ESG</w:t>
      </w:r>
      <w:r w:rsidR="00863773">
        <w:rPr>
          <w:rFonts w:asciiTheme="majorBidi" w:hAnsiTheme="majorBidi" w:cstheme="majorBidi"/>
          <w:sz w:val="24"/>
          <w:szCs w:val="24"/>
        </w:rPr>
        <w:t xml:space="preserve">, to market players, policy makers, and regulatory bodies of Islamic </w:t>
      </w:r>
      <w:r w:rsidR="002169F1">
        <w:rPr>
          <w:rFonts w:asciiTheme="majorBidi" w:hAnsiTheme="majorBidi" w:cstheme="majorBidi"/>
          <w:sz w:val="24"/>
          <w:szCs w:val="24"/>
        </w:rPr>
        <w:t xml:space="preserve">and conventional </w:t>
      </w:r>
      <w:r w:rsidR="00863773">
        <w:rPr>
          <w:rFonts w:asciiTheme="majorBidi" w:hAnsiTheme="majorBidi" w:cstheme="majorBidi"/>
          <w:sz w:val="24"/>
          <w:szCs w:val="24"/>
        </w:rPr>
        <w:t>banks</w:t>
      </w:r>
      <w:r w:rsidR="002169F1">
        <w:rPr>
          <w:rFonts w:asciiTheme="majorBidi" w:hAnsiTheme="majorBidi" w:cstheme="majorBidi"/>
          <w:sz w:val="24"/>
          <w:szCs w:val="24"/>
        </w:rPr>
        <w:t xml:space="preserve"> in the regions under study</w:t>
      </w:r>
      <w:r w:rsidR="00863773">
        <w:rPr>
          <w:rFonts w:asciiTheme="majorBidi" w:hAnsiTheme="majorBidi" w:cstheme="majorBidi"/>
          <w:sz w:val="24"/>
          <w:szCs w:val="24"/>
        </w:rPr>
        <w:t xml:space="preserve">. </w:t>
      </w:r>
    </w:p>
    <w:p w14:paraId="7A708AEB" w14:textId="77777777" w:rsidR="009302CC" w:rsidRDefault="009302CC" w:rsidP="00D9035C">
      <w:pPr>
        <w:jc w:val="both"/>
        <w:rPr>
          <w:rFonts w:asciiTheme="majorBidi" w:hAnsiTheme="majorBidi" w:cstheme="majorBidi"/>
          <w:sz w:val="24"/>
          <w:szCs w:val="24"/>
        </w:rPr>
      </w:pPr>
    </w:p>
    <w:p w14:paraId="0A1B8FAD" w14:textId="06976E56" w:rsidR="00D9035C" w:rsidRPr="00034DEB" w:rsidRDefault="00D9035C" w:rsidP="00D9035C">
      <w:pPr>
        <w:jc w:val="both"/>
        <w:rPr>
          <w:rFonts w:asciiTheme="majorBidi" w:hAnsiTheme="majorBidi" w:cstheme="majorBidi"/>
          <w:sz w:val="24"/>
          <w:szCs w:val="24"/>
        </w:rPr>
      </w:pPr>
      <w:r>
        <w:rPr>
          <w:rFonts w:asciiTheme="majorBidi" w:hAnsiTheme="majorBidi" w:cstheme="majorBidi"/>
          <w:b/>
          <w:bCs/>
          <w:caps/>
          <w:sz w:val="24"/>
        </w:rPr>
        <w:t>Keywords</w:t>
      </w:r>
    </w:p>
    <w:p w14:paraId="5D9DA425" w14:textId="40AA2B5F" w:rsidR="00365E22" w:rsidRDefault="009302CC" w:rsidP="00365E22">
      <w:pPr>
        <w:jc w:val="both"/>
        <w:rPr>
          <w:rFonts w:asciiTheme="majorBidi" w:hAnsiTheme="majorBidi" w:cstheme="majorBidi"/>
          <w:sz w:val="24"/>
          <w:szCs w:val="24"/>
        </w:rPr>
      </w:pPr>
      <w:r>
        <w:rPr>
          <w:rFonts w:asciiTheme="majorBidi" w:hAnsiTheme="majorBidi" w:cstheme="majorBidi"/>
          <w:sz w:val="24"/>
          <w:szCs w:val="24"/>
        </w:rPr>
        <w:t>Environmental and Social Goals (ESG)</w:t>
      </w:r>
      <w:r w:rsidR="00365E22" w:rsidRPr="00365E22">
        <w:rPr>
          <w:rFonts w:asciiTheme="majorBidi" w:hAnsiTheme="majorBidi" w:cstheme="majorBidi"/>
          <w:sz w:val="24"/>
          <w:szCs w:val="24"/>
        </w:rPr>
        <w:t xml:space="preserve">, GMM, Bank performance, </w:t>
      </w:r>
      <w:r w:rsidR="00365E22">
        <w:rPr>
          <w:rFonts w:asciiTheme="majorBidi" w:hAnsiTheme="majorBidi" w:cstheme="majorBidi"/>
          <w:sz w:val="24"/>
          <w:szCs w:val="24"/>
        </w:rPr>
        <w:t>GCC</w:t>
      </w:r>
      <w:r w:rsidR="00365E22" w:rsidRPr="00365E22">
        <w:rPr>
          <w:rFonts w:asciiTheme="majorBidi" w:hAnsiTheme="majorBidi" w:cstheme="majorBidi"/>
          <w:sz w:val="24"/>
          <w:szCs w:val="24"/>
        </w:rPr>
        <w:t>,</w:t>
      </w:r>
      <w:r w:rsidR="00365E22">
        <w:rPr>
          <w:rFonts w:asciiTheme="majorBidi" w:hAnsiTheme="majorBidi" w:cstheme="majorBidi"/>
          <w:sz w:val="24"/>
          <w:szCs w:val="24"/>
        </w:rPr>
        <w:t xml:space="preserve"> MENAT</w:t>
      </w:r>
    </w:p>
    <w:p w14:paraId="628A23B2" w14:textId="74095238" w:rsidR="00EF4590" w:rsidRPr="00D9035C" w:rsidRDefault="00EF4590" w:rsidP="00B065ED">
      <w:pPr>
        <w:spacing w:line="360" w:lineRule="auto"/>
        <w:jc w:val="both"/>
        <w:rPr>
          <w:rFonts w:asciiTheme="majorBidi" w:hAnsiTheme="majorBidi" w:cstheme="majorBidi"/>
          <w:sz w:val="24"/>
          <w:szCs w:val="24"/>
        </w:rPr>
      </w:pPr>
    </w:p>
    <w:p w14:paraId="46110B45" w14:textId="067F55CF" w:rsidR="00B065ED" w:rsidRPr="00E70689" w:rsidRDefault="00B065ED" w:rsidP="00E70689">
      <w:pPr>
        <w:jc w:val="both"/>
        <w:rPr>
          <w:rFonts w:asciiTheme="majorBidi" w:hAnsiTheme="majorBidi" w:cstheme="majorBidi"/>
          <w:b/>
          <w:bCs/>
          <w:caps/>
          <w:sz w:val="24"/>
        </w:rPr>
      </w:pPr>
      <w:r w:rsidRPr="00E70689">
        <w:rPr>
          <w:rFonts w:asciiTheme="majorBidi" w:hAnsiTheme="majorBidi" w:cstheme="majorBidi"/>
          <w:b/>
          <w:bCs/>
          <w:caps/>
          <w:sz w:val="24"/>
        </w:rPr>
        <w:t>Short Biographies</w:t>
      </w:r>
    </w:p>
    <w:p w14:paraId="24A416F2" w14:textId="65E270A8" w:rsidR="00B065ED" w:rsidRPr="00D9035C" w:rsidRDefault="00E70689" w:rsidP="00B065ED">
      <w:pPr>
        <w:spacing w:line="360" w:lineRule="auto"/>
        <w:jc w:val="both"/>
        <w:rPr>
          <w:rFonts w:asciiTheme="majorBidi" w:hAnsiTheme="majorBidi" w:cstheme="majorBidi"/>
          <w:sz w:val="24"/>
          <w:szCs w:val="24"/>
        </w:rPr>
      </w:pPr>
      <w:r w:rsidRPr="00D9035C">
        <w:rPr>
          <w:rFonts w:asciiTheme="majorBidi" w:hAnsiTheme="majorBidi" w:cstheme="majorBidi"/>
          <w:sz w:val="28"/>
          <w:szCs w:val="28"/>
          <w:vertAlign w:val="superscript"/>
        </w:rPr>
        <w:t xml:space="preserve">a </w:t>
      </w:r>
      <w:r w:rsidR="00B065ED" w:rsidRPr="000D6EB8">
        <w:rPr>
          <w:rFonts w:asciiTheme="majorBidi" w:hAnsiTheme="majorBidi" w:cstheme="majorBidi"/>
          <w:sz w:val="24"/>
          <w:szCs w:val="24"/>
        </w:rPr>
        <w:t>Rania Salem</w:t>
      </w:r>
      <w:r>
        <w:rPr>
          <w:rFonts w:asciiTheme="majorBidi" w:hAnsiTheme="majorBidi" w:cstheme="majorBidi"/>
          <w:sz w:val="24"/>
          <w:szCs w:val="24"/>
        </w:rPr>
        <w:t xml:space="preserve">, is currently an </w:t>
      </w:r>
      <w:bookmarkStart w:id="0" w:name="_GoBack"/>
      <w:bookmarkEnd w:id="0"/>
      <w:r>
        <w:rPr>
          <w:rFonts w:asciiTheme="majorBidi" w:hAnsiTheme="majorBidi" w:cstheme="majorBidi"/>
          <w:sz w:val="24"/>
          <w:szCs w:val="24"/>
        </w:rPr>
        <w:t>Assistant Professor of finance at the British University in Egypt</w:t>
      </w:r>
    </w:p>
    <w:p w14:paraId="1BD1AD7A" w14:textId="55F8E581" w:rsidR="00B065ED" w:rsidRPr="00D9035C" w:rsidRDefault="00B065ED" w:rsidP="00B065ED">
      <w:pPr>
        <w:spacing w:line="360" w:lineRule="auto"/>
        <w:jc w:val="both"/>
        <w:rPr>
          <w:rFonts w:asciiTheme="majorBidi" w:hAnsiTheme="majorBidi" w:cstheme="majorBidi"/>
          <w:sz w:val="24"/>
          <w:szCs w:val="24"/>
        </w:rPr>
      </w:pPr>
    </w:p>
    <w:p w14:paraId="48896AF1" w14:textId="77777777" w:rsidR="00B065ED" w:rsidRPr="00D9035C" w:rsidRDefault="00B065ED" w:rsidP="00B065ED">
      <w:pPr>
        <w:spacing w:line="360" w:lineRule="auto"/>
        <w:jc w:val="both"/>
        <w:rPr>
          <w:rFonts w:asciiTheme="majorBidi" w:hAnsiTheme="majorBidi" w:cstheme="majorBidi"/>
          <w:sz w:val="24"/>
          <w:szCs w:val="24"/>
        </w:rPr>
      </w:pPr>
    </w:p>
    <w:p w14:paraId="43C38BB1" w14:textId="5AD87AAA" w:rsidR="003135E5" w:rsidRPr="00D9035C" w:rsidRDefault="003135E5" w:rsidP="00B065ED">
      <w:pPr>
        <w:spacing w:line="360" w:lineRule="auto"/>
        <w:jc w:val="both"/>
        <w:rPr>
          <w:rFonts w:asciiTheme="majorBidi" w:hAnsiTheme="majorBidi" w:cstheme="majorBidi"/>
          <w:sz w:val="24"/>
          <w:szCs w:val="24"/>
        </w:rPr>
      </w:pPr>
      <w:r w:rsidRPr="00D9035C">
        <w:rPr>
          <w:rFonts w:asciiTheme="majorBidi" w:hAnsiTheme="majorBidi" w:cstheme="majorBidi"/>
          <w:sz w:val="24"/>
          <w:szCs w:val="24"/>
        </w:rPr>
        <w:t>Mohamed Mustafa Abu Al Azm</w:t>
      </w:r>
    </w:p>
    <w:p w14:paraId="3FD2DCAB" w14:textId="446FE9F5" w:rsidR="003135E5" w:rsidRPr="00D9035C" w:rsidRDefault="003135E5" w:rsidP="00B065ED">
      <w:pPr>
        <w:spacing w:line="360" w:lineRule="auto"/>
        <w:jc w:val="both"/>
        <w:rPr>
          <w:rFonts w:asciiTheme="majorBidi" w:hAnsiTheme="majorBidi" w:cstheme="majorBidi"/>
          <w:sz w:val="24"/>
          <w:szCs w:val="24"/>
        </w:rPr>
      </w:pPr>
      <w:r w:rsidRPr="00D9035C">
        <w:rPr>
          <w:rFonts w:asciiTheme="majorBidi" w:hAnsiTheme="majorBidi" w:cstheme="majorBidi"/>
          <w:sz w:val="24"/>
          <w:szCs w:val="24"/>
        </w:rPr>
        <w:t xml:space="preserve">Finance Senior </w:t>
      </w:r>
      <w:r w:rsidR="00B065ED" w:rsidRPr="00D9035C">
        <w:rPr>
          <w:rFonts w:asciiTheme="majorBidi" w:hAnsiTheme="majorBidi" w:cstheme="majorBidi"/>
          <w:sz w:val="24"/>
          <w:szCs w:val="24"/>
        </w:rPr>
        <w:t xml:space="preserve">Student </w:t>
      </w:r>
      <w:r w:rsidRPr="00D9035C">
        <w:rPr>
          <w:rFonts w:asciiTheme="majorBidi" w:hAnsiTheme="majorBidi" w:cstheme="majorBidi"/>
          <w:sz w:val="24"/>
          <w:szCs w:val="24"/>
        </w:rPr>
        <w:t>at the British University in Egypt</w:t>
      </w:r>
    </w:p>
    <w:p w14:paraId="2AEE5FB6" w14:textId="17685E05" w:rsidR="00EF4590" w:rsidRPr="00D9035C" w:rsidRDefault="003135E5" w:rsidP="00B065ED">
      <w:pPr>
        <w:spacing w:line="360" w:lineRule="auto"/>
        <w:jc w:val="both"/>
        <w:rPr>
          <w:rFonts w:asciiTheme="majorBidi" w:hAnsiTheme="majorBidi" w:cstheme="majorBidi"/>
          <w:sz w:val="24"/>
          <w:szCs w:val="24"/>
        </w:rPr>
      </w:pPr>
      <w:r w:rsidRPr="00D9035C">
        <w:rPr>
          <w:rFonts w:asciiTheme="majorBidi" w:hAnsiTheme="majorBidi" w:cstheme="majorBidi"/>
          <w:sz w:val="24"/>
          <w:szCs w:val="24"/>
        </w:rPr>
        <w:t>Mohamed203370@bue.edu.eg</w:t>
      </w:r>
    </w:p>
    <w:p w14:paraId="08C4F8E7" w14:textId="77777777" w:rsidR="00B065ED" w:rsidRPr="00D9035C" w:rsidRDefault="00B065ED" w:rsidP="00B065ED">
      <w:pPr>
        <w:spacing w:line="360" w:lineRule="auto"/>
        <w:jc w:val="both"/>
        <w:rPr>
          <w:rFonts w:asciiTheme="majorBidi" w:hAnsiTheme="majorBidi" w:cstheme="majorBidi"/>
          <w:b/>
          <w:bCs/>
          <w:sz w:val="24"/>
          <w:szCs w:val="24"/>
        </w:rPr>
      </w:pPr>
    </w:p>
    <w:p w14:paraId="403E3A14" w14:textId="77777777" w:rsidR="00D9035C" w:rsidRDefault="00D9035C" w:rsidP="00D9035C">
      <w:pPr>
        <w:jc w:val="both"/>
        <w:rPr>
          <w:rFonts w:asciiTheme="majorBidi" w:hAnsiTheme="majorBidi" w:cstheme="majorBidi"/>
          <w:b/>
          <w:bCs/>
          <w:caps/>
          <w:sz w:val="24"/>
        </w:rPr>
      </w:pPr>
      <w:r>
        <w:rPr>
          <w:rFonts w:asciiTheme="majorBidi" w:hAnsiTheme="majorBidi" w:cstheme="majorBidi"/>
          <w:b/>
          <w:bCs/>
          <w:caps/>
          <w:sz w:val="24"/>
        </w:rPr>
        <w:t>References</w:t>
      </w:r>
    </w:p>
    <w:p w14:paraId="5779E7D7" w14:textId="77777777" w:rsidR="00F03209" w:rsidRPr="00D9035C" w:rsidRDefault="00F03209" w:rsidP="00B065ED">
      <w:pPr>
        <w:pStyle w:val="NormalWeb"/>
        <w:spacing w:before="0" w:beforeAutospacing="0" w:after="0" w:afterAutospacing="0" w:line="360" w:lineRule="auto"/>
        <w:ind w:left="720" w:hanging="720"/>
        <w:jc w:val="both"/>
        <w:rPr>
          <w:rFonts w:asciiTheme="majorBidi" w:hAnsiTheme="majorBidi" w:cstheme="majorBidi"/>
        </w:rPr>
      </w:pPr>
      <w:r w:rsidRPr="00D9035C">
        <w:rPr>
          <w:rFonts w:asciiTheme="majorBidi" w:hAnsiTheme="majorBidi" w:cstheme="majorBidi"/>
        </w:rPr>
        <w:t xml:space="preserve">Buallay, A., Wadi, R. M. A., Kukreja, G., &amp; Hassan, A. (2020). Evaluating ESG disclosures of Islamic banks: evidence from the Organization of Islamic Cooperation Members. </w:t>
      </w:r>
      <w:r w:rsidRPr="00D9035C">
        <w:rPr>
          <w:rFonts w:asciiTheme="majorBidi" w:hAnsiTheme="majorBidi" w:cstheme="majorBidi"/>
          <w:i/>
          <w:iCs/>
        </w:rPr>
        <w:t>International Journal of Innovation and Sustainable Development</w:t>
      </w:r>
      <w:r w:rsidRPr="00D9035C">
        <w:rPr>
          <w:rFonts w:asciiTheme="majorBidi" w:hAnsiTheme="majorBidi" w:cstheme="majorBidi"/>
        </w:rPr>
        <w:t xml:space="preserve">, </w:t>
      </w:r>
      <w:r w:rsidRPr="00D9035C">
        <w:rPr>
          <w:rFonts w:asciiTheme="majorBidi" w:hAnsiTheme="majorBidi" w:cstheme="majorBidi"/>
          <w:i/>
          <w:iCs/>
        </w:rPr>
        <w:t>14</w:t>
      </w:r>
      <w:r w:rsidRPr="00D9035C">
        <w:rPr>
          <w:rFonts w:asciiTheme="majorBidi" w:hAnsiTheme="majorBidi" w:cstheme="majorBidi"/>
        </w:rPr>
        <w:t>(3), 266. https://doi.org/10.1504/ijisd.2020.108045</w:t>
      </w:r>
    </w:p>
    <w:p w14:paraId="5D80939E" w14:textId="77777777" w:rsidR="00090BF1" w:rsidRPr="00D9035C" w:rsidRDefault="00090BF1" w:rsidP="00B065ED">
      <w:pPr>
        <w:pStyle w:val="NormalWeb"/>
        <w:spacing w:before="0" w:beforeAutospacing="0" w:after="0" w:afterAutospacing="0" w:line="360" w:lineRule="auto"/>
        <w:ind w:left="720" w:hanging="720"/>
        <w:jc w:val="both"/>
        <w:rPr>
          <w:rFonts w:asciiTheme="majorBidi" w:hAnsiTheme="majorBidi" w:cstheme="majorBidi"/>
        </w:rPr>
      </w:pPr>
      <w:r w:rsidRPr="00D9035C">
        <w:rPr>
          <w:rFonts w:asciiTheme="majorBidi" w:hAnsiTheme="majorBidi" w:cstheme="majorBidi"/>
        </w:rPr>
        <w:t xml:space="preserve">Alam, A. N., Banna, H., &amp; Hassan, M. K. (2021). ESG Activities and Bank Efficiency: Are Islamic Banks Better? </w:t>
      </w:r>
      <w:r w:rsidRPr="00D9035C">
        <w:rPr>
          <w:rFonts w:asciiTheme="majorBidi" w:hAnsiTheme="majorBidi" w:cstheme="majorBidi"/>
          <w:i/>
          <w:iCs/>
        </w:rPr>
        <w:t>Social Science Research Network</w:t>
      </w:r>
      <w:r w:rsidRPr="00D9035C">
        <w:rPr>
          <w:rFonts w:asciiTheme="majorBidi" w:hAnsiTheme="majorBidi" w:cstheme="majorBidi"/>
        </w:rPr>
        <w:t>. https://doi.org/10.2139/ssrn.4030145</w:t>
      </w:r>
    </w:p>
    <w:p w14:paraId="128458C8" w14:textId="77777777" w:rsidR="00E93E73" w:rsidRPr="00D9035C" w:rsidRDefault="00E93E73" w:rsidP="00B065ED">
      <w:pPr>
        <w:pStyle w:val="NormalWeb"/>
        <w:spacing w:before="0" w:beforeAutospacing="0" w:after="0" w:afterAutospacing="0" w:line="360" w:lineRule="auto"/>
        <w:ind w:left="720" w:hanging="720"/>
        <w:jc w:val="both"/>
        <w:rPr>
          <w:rFonts w:asciiTheme="majorBidi" w:hAnsiTheme="majorBidi" w:cstheme="majorBidi"/>
        </w:rPr>
      </w:pPr>
      <w:r w:rsidRPr="00D9035C">
        <w:rPr>
          <w:rFonts w:asciiTheme="majorBidi" w:hAnsiTheme="majorBidi" w:cstheme="majorBidi"/>
        </w:rPr>
        <w:lastRenderedPageBreak/>
        <w:t xml:space="preserve">Abdollahi, M., Hashim, F., Amran, A., &amp; Hyder, K. (2019). Green Banking and Islam: two sides of the same coin. </w:t>
      </w:r>
      <w:r w:rsidRPr="00D9035C">
        <w:rPr>
          <w:rFonts w:asciiTheme="majorBidi" w:hAnsiTheme="majorBidi" w:cstheme="majorBidi"/>
          <w:i/>
          <w:iCs/>
        </w:rPr>
        <w:t>Journal of Islamic Marketing</w:t>
      </w:r>
      <w:r w:rsidRPr="00D9035C">
        <w:rPr>
          <w:rFonts w:asciiTheme="majorBidi" w:hAnsiTheme="majorBidi" w:cstheme="majorBidi"/>
        </w:rPr>
        <w:t xml:space="preserve">, </w:t>
      </w:r>
      <w:r w:rsidRPr="00D9035C">
        <w:rPr>
          <w:rFonts w:asciiTheme="majorBidi" w:hAnsiTheme="majorBidi" w:cstheme="majorBidi"/>
          <w:i/>
          <w:iCs/>
        </w:rPr>
        <w:t>11</w:t>
      </w:r>
      <w:r w:rsidRPr="00D9035C">
        <w:rPr>
          <w:rFonts w:asciiTheme="majorBidi" w:hAnsiTheme="majorBidi" w:cstheme="majorBidi"/>
        </w:rPr>
        <w:t>(4), 977–1000. https://doi.org/10.1108/jima-09-2018-0154</w:t>
      </w:r>
    </w:p>
    <w:p w14:paraId="1279A299" w14:textId="77777777" w:rsidR="002D2928" w:rsidRPr="00D9035C" w:rsidRDefault="002D2928" w:rsidP="00B065ED">
      <w:pPr>
        <w:pStyle w:val="NormalWeb"/>
        <w:spacing w:before="0" w:beforeAutospacing="0" w:after="0" w:afterAutospacing="0" w:line="360" w:lineRule="auto"/>
        <w:ind w:left="720" w:hanging="720"/>
        <w:jc w:val="both"/>
        <w:rPr>
          <w:rFonts w:asciiTheme="majorBidi" w:hAnsiTheme="majorBidi" w:cstheme="majorBidi"/>
        </w:rPr>
      </w:pPr>
      <w:r w:rsidRPr="00D9035C">
        <w:rPr>
          <w:rFonts w:asciiTheme="majorBidi" w:hAnsiTheme="majorBidi" w:cstheme="majorBidi"/>
        </w:rPr>
        <w:t xml:space="preserve">Aspinall, N., Jones, S., McNeill, R., Werner, R. A., &amp; Zalk, T. (2018). Sustainability and the financial system Review of literature 2015. </w:t>
      </w:r>
      <w:r w:rsidRPr="00D9035C">
        <w:rPr>
          <w:rFonts w:asciiTheme="majorBidi" w:hAnsiTheme="majorBidi" w:cstheme="majorBidi"/>
          <w:i/>
          <w:iCs/>
        </w:rPr>
        <w:t>British Actuarial Journal</w:t>
      </w:r>
      <w:r w:rsidRPr="00D9035C">
        <w:rPr>
          <w:rFonts w:asciiTheme="majorBidi" w:hAnsiTheme="majorBidi" w:cstheme="majorBidi"/>
        </w:rPr>
        <w:t xml:space="preserve">, </w:t>
      </w:r>
      <w:r w:rsidRPr="00D9035C">
        <w:rPr>
          <w:rFonts w:asciiTheme="majorBidi" w:hAnsiTheme="majorBidi" w:cstheme="majorBidi"/>
          <w:i/>
          <w:iCs/>
        </w:rPr>
        <w:t>23</w:t>
      </w:r>
      <w:r w:rsidRPr="00D9035C">
        <w:rPr>
          <w:rFonts w:asciiTheme="majorBidi" w:hAnsiTheme="majorBidi" w:cstheme="majorBidi"/>
        </w:rPr>
        <w:t>. https://doi.org/10.1017/s1357321718000028</w:t>
      </w:r>
    </w:p>
    <w:p w14:paraId="5CC57520" w14:textId="74495B93" w:rsidR="003135E5" w:rsidRPr="000D6EB8" w:rsidRDefault="00935FC6" w:rsidP="000D6EB8">
      <w:pPr>
        <w:pStyle w:val="NormalWeb"/>
        <w:spacing w:before="0" w:beforeAutospacing="0" w:after="0" w:afterAutospacing="0" w:line="360" w:lineRule="auto"/>
        <w:ind w:left="720" w:hanging="720"/>
        <w:jc w:val="both"/>
        <w:rPr>
          <w:rFonts w:asciiTheme="majorBidi" w:hAnsiTheme="majorBidi" w:cstheme="majorBidi"/>
        </w:rPr>
      </w:pPr>
      <w:r w:rsidRPr="00D9035C">
        <w:rPr>
          <w:rFonts w:asciiTheme="majorBidi" w:hAnsiTheme="majorBidi" w:cstheme="majorBidi"/>
        </w:rPr>
        <w:t xml:space="preserve">De Carvalho Ferreira, M. L., Sobreiro, V. A., Kimura, H., &amp; Barboza, F. (2016). A systematic review of literature about finance and sustainability. </w:t>
      </w:r>
      <w:r w:rsidRPr="00D9035C">
        <w:rPr>
          <w:rFonts w:asciiTheme="majorBidi" w:hAnsiTheme="majorBidi" w:cstheme="majorBidi"/>
          <w:i/>
          <w:iCs/>
        </w:rPr>
        <w:t>Journal of Sustainable Finance &amp; Investment</w:t>
      </w:r>
      <w:r w:rsidRPr="00D9035C">
        <w:rPr>
          <w:rFonts w:asciiTheme="majorBidi" w:hAnsiTheme="majorBidi" w:cstheme="majorBidi"/>
        </w:rPr>
        <w:t xml:space="preserve">, </w:t>
      </w:r>
      <w:r w:rsidRPr="00D9035C">
        <w:rPr>
          <w:rFonts w:asciiTheme="majorBidi" w:hAnsiTheme="majorBidi" w:cstheme="majorBidi"/>
          <w:i/>
          <w:iCs/>
        </w:rPr>
        <w:t>6</w:t>
      </w:r>
      <w:r w:rsidRPr="00D9035C">
        <w:rPr>
          <w:rFonts w:asciiTheme="majorBidi" w:hAnsiTheme="majorBidi" w:cstheme="majorBidi"/>
        </w:rPr>
        <w:t>(2), 112–147. https://doi.org/10.1080/20430795.2016.1177438</w:t>
      </w:r>
    </w:p>
    <w:sectPr w:rsidR="003135E5" w:rsidRPr="000D6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vOT8cb2ddb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623"/>
    <w:rsid w:val="00035B29"/>
    <w:rsid w:val="00041FF9"/>
    <w:rsid w:val="00090BF1"/>
    <w:rsid w:val="000D6EB8"/>
    <w:rsid w:val="000F57A5"/>
    <w:rsid w:val="001672FF"/>
    <w:rsid w:val="001A2F41"/>
    <w:rsid w:val="001C2000"/>
    <w:rsid w:val="001C33DB"/>
    <w:rsid w:val="00201941"/>
    <w:rsid w:val="00204B65"/>
    <w:rsid w:val="00207A89"/>
    <w:rsid w:val="002169F1"/>
    <w:rsid w:val="002D2928"/>
    <w:rsid w:val="002D333E"/>
    <w:rsid w:val="003135E5"/>
    <w:rsid w:val="0035716D"/>
    <w:rsid w:val="00365E22"/>
    <w:rsid w:val="003D785F"/>
    <w:rsid w:val="00446BD1"/>
    <w:rsid w:val="00484CFB"/>
    <w:rsid w:val="0052296B"/>
    <w:rsid w:val="005230B2"/>
    <w:rsid w:val="005D3753"/>
    <w:rsid w:val="006131B4"/>
    <w:rsid w:val="00617301"/>
    <w:rsid w:val="00632F1C"/>
    <w:rsid w:val="00646861"/>
    <w:rsid w:val="006B0623"/>
    <w:rsid w:val="006B56A8"/>
    <w:rsid w:val="00747A23"/>
    <w:rsid w:val="00753117"/>
    <w:rsid w:val="007A23D2"/>
    <w:rsid w:val="007A767F"/>
    <w:rsid w:val="007C2BAF"/>
    <w:rsid w:val="00820A25"/>
    <w:rsid w:val="008626F8"/>
    <w:rsid w:val="00863773"/>
    <w:rsid w:val="008D22FC"/>
    <w:rsid w:val="009302CC"/>
    <w:rsid w:val="00935FC6"/>
    <w:rsid w:val="0099100E"/>
    <w:rsid w:val="009A7BC0"/>
    <w:rsid w:val="009A7FD9"/>
    <w:rsid w:val="009F348D"/>
    <w:rsid w:val="00A12463"/>
    <w:rsid w:val="00A60AD4"/>
    <w:rsid w:val="00A67529"/>
    <w:rsid w:val="00AD7DC9"/>
    <w:rsid w:val="00AE69E7"/>
    <w:rsid w:val="00B065ED"/>
    <w:rsid w:val="00B20E95"/>
    <w:rsid w:val="00BD40EB"/>
    <w:rsid w:val="00C15894"/>
    <w:rsid w:val="00C77F8E"/>
    <w:rsid w:val="00CB57F4"/>
    <w:rsid w:val="00CC626C"/>
    <w:rsid w:val="00D9035C"/>
    <w:rsid w:val="00E37ACC"/>
    <w:rsid w:val="00E70689"/>
    <w:rsid w:val="00E93E73"/>
    <w:rsid w:val="00EF4590"/>
    <w:rsid w:val="00EF6CA9"/>
    <w:rsid w:val="00F024B0"/>
    <w:rsid w:val="00F03209"/>
    <w:rsid w:val="00FC541D"/>
    <w:rsid w:val="00FF4E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0759"/>
  <w15:chartTrackingRefBased/>
  <w15:docId w15:val="{165930F9-5E5E-4EBD-B438-93FDDD2F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623"/>
  </w:style>
  <w:style w:type="paragraph" w:styleId="Heading1">
    <w:name w:val="heading 1"/>
    <w:basedOn w:val="Normal"/>
    <w:next w:val="Normal"/>
    <w:link w:val="Heading1Char"/>
    <w:uiPriority w:val="9"/>
    <w:qFormat/>
    <w:rsid w:val="00D9035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2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9035C"/>
    <w:rPr>
      <w:rFonts w:asciiTheme="majorHAnsi" w:eastAsiaTheme="majorEastAsia" w:hAnsiTheme="majorHAnsi" w:cstheme="majorBidi"/>
      <w:color w:val="2F5496" w:themeColor="accent1" w:themeShade="BF"/>
      <w:sz w:val="32"/>
      <w:szCs w:val="32"/>
      <w:lang w:val="en-GB"/>
    </w:rPr>
  </w:style>
  <w:style w:type="paragraph" w:styleId="Title">
    <w:name w:val="Title"/>
    <w:basedOn w:val="Normal"/>
    <w:next w:val="Normal"/>
    <w:link w:val="TitleChar"/>
    <w:uiPriority w:val="10"/>
    <w:qFormat/>
    <w:rsid w:val="00D9035C"/>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D9035C"/>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494360">
      <w:bodyDiv w:val="1"/>
      <w:marLeft w:val="0"/>
      <w:marRight w:val="0"/>
      <w:marTop w:val="0"/>
      <w:marBottom w:val="0"/>
      <w:divBdr>
        <w:top w:val="none" w:sz="0" w:space="0" w:color="auto"/>
        <w:left w:val="none" w:sz="0" w:space="0" w:color="auto"/>
        <w:bottom w:val="none" w:sz="0" w:space="0" w:color="auto"/>
        <w:right w:val="none" w:sz="0" w:space="0" w:color="auto"/>
      </w:divBdr>
    </w:div>
    <w:div w:id="611741464">
      <w:bodyDiv w:val="1"/>
      <w:marLeft w:val="0"/>
      <w:marRight w:val="0"/>
      <w:marTop w:val="0"/>
      <w:marBottom w:val="0"/>
      <w:divBdr>
        <w:top w:val="none" w:sz="0" w:space="0" w:color="auto"/>
        <w:left w:val="none" w:sz="0" w:space="0" w:color="auto"/>
        <w:bottom w:val="none" w:sz="0" w:space="0" w:color="auto"/>
        <w:right w:val="none" w:sz="0" w:space="0" w:color="auto"/>
      </w:divBdr>
    </w:div>
    <w:div w:id="882711514">
      <w:bodyDiv w:val="1"/>
      <w:marLeft w:val="0"/>
      <w:marRight w:val="0"/>
      <w:marTop w:val="0"/>
      <w:marBottom w:val="0"/>
      <w:divBdr>
        <w:top w:val="none" w:sz="0" w:space="0" w:color="auto"/>
        <w:left w:val="none" w:sz="0" w:space="0" w:color="auto"/>
        <w:bottom w:val="none" w:sz="0" w:space="0" w:color="auto"/>
        <w:right w:val="none" w:sz="0" w:space="0" w:color="auto"/>
      </w:divBdr>
    </w:div>
    <w:div w:id="1553351277">
      <w:bodyDiv w:val="1"/>
      <w:marLeft w:val="0"/>
      <w:marRight w:val="0"/>
      <w:marTop w:val="0"/>
      <w:marBottom w:val="0"/>
      <w:divBdr>
        <w:top w:val="none" w:sz="0" w:space="0" w:color="auto"/>
        <w:left w:val="none" w:sz="0" w:space="0" w:color="auto"/>
        <w:bottom w:val="none" w:sz="0" w:space="0" w:color="auto"/>
        <w:right w:val="none" w:sz="0" w:space="0" w:color="auto"/>
      </w:divBdr>
    </w:div>
    <w:div w:id="175442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518A9525026E43A7EC029D1DF35988" ma:contentTypeVersion="13" ma:contentTypeDescription="Create a new document." ma:contentTypeScope="" ma:versionID="0190f2a1c033ea64fc4e4bb4b7a0b882">
  <xsd:schema xmlns:xsd="http://www.w3.org/2001/XMLSchema" xmlns:xs="http://www.w3.org/2001/XMLSchema" xmlns:p="http://schemas.microsoft.com/office/2006/metadata/properties" xmlns:ns3="f0e3e1e2-0669-420a-9753-d3b295c5e214" xmlns:ns4="e48b10a6-6ed9-4f9d-adde-e0b6dc2f1398" targetNamespace="http://schemas.microsoft.com/office/2006/metadata/properties" ma:root="true" ma:fieldsID="1e87321cf1c60b27bdb4927c1cb8cb84" ns3:_="" ns4:_="">
    <xsd:import namespace="f0e3e1e2-0669-420a-9753-d3b295c5e214"/>
    <xsd:import namespace="e48b10a6-6ed9-4f9d-adde-e0b6dc2f13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3e1e2-0669-420a-9753-d3b295c5e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b10a6-6ed9-4f9d-adde-e0b6dc2f13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0e3e1e2-0669-420a-9753-d3b295c5e2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D6E74-D52D-4C98-A6BC-E174CCAB4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3e1e2-0669-420a-9753-d3b295c5e214"/>
    <ds:schemaRef ds:uri="e48b10a6-6ed9-4f9d-adde-e0b6dc2f1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02FA6-2DCA-4E44-9CB7-BE89006B0906}">
  <ds:schemaRefs>
    <ds:schemaRef ds:uri="http://schemas.microsoft.com/office/2006/metadata/properties"/>
    <ds:schemaRef ds:uri="http://schemas.microsoft.com/office/infopath/2007/PartnerControls"/>
    <ds:schemaRef ds:uri="f0e3e1e2-0669-420a-9753-d3b295c5e214"/>
  </ds:schemaRefs>
</ds:datastoreItem>
</file>

<file path=customXml/itemProps3.xml><?xml version="1.0" encoding="utf-8"?>
<ds:datastoreItem xmlns:ds="http://schemas.openxmlformats.org/officeDocument/2006/customXml" ds:itemID="{31EE2EA4-FE32-455E-AA1D-862D3DD7EE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Mohamed203370</dc:creator>
  <cp:keywords/>
  <dc:description/>
  <cp:lastModifiedBy>g</cp:lastModifiedBy>
  <cp:revision>22</cp:revision>
  <dcterms:created xsi:type="dcterms:W3CDTF">2023-02-24T17:31:00Z</dcterms:created>
  <dcterms:modified xsi:type="dcterms:W3CDTF">2023-02-24T21:56:00Z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0x010100DE518A9525026E43A7EC029D1DF35988</vt:lpwstr>
  </property>
</Properties>
</file>